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46" w:rsidRPr="003F50AF" w:rsidRDefault="003F50AF" w:rsidP="00643946">
      <w:pPr>
        <w:spacing w:after="0" w:line="240" w:lineRule="auto"/>
        <w:ind w:firstLine="0"/>
        <w:jc w:val="center"/>
        <w:rPr>
          <w:rFonts w:cs="Times New Roman"/>
          <w:b/>
        </w:rPr>
      </w:pPr>
      <w:bookmarkStart w:id="0" w:name="_GoBack"/>
      <w:bookmarkEnd w:id="0"/>
      <w:r w:rsidRPr="003F50AF">
        <w:rPr>
          <w:rFonts w:cs="Times New Roman"/>
          <w:b/>
        </w:rPr>
        <w:t>4</w:t>
      </w:r>
      <w:r w:rsidRPr="003F50AF">
        <w:rPr>
          <w:rFonts w:cs="Times New Roman"/>
          <w:b/>
          <w:vertAlign w:val="superscript"/>
        </w:rPr>
        <w:t>ème</w:t>
      </w:r>
      <w:r w:rsidRPr="003F50AF">
        <w:rPr>
          <w:rFonts w:cs="Times New Roman"/>
          <w:b/>
        </w:rPr>
        <w:t xml:space="preserve"> Conférence Internationale sur l’Environnement Institutionnel et Technologique de la Microfinance – ITEM 4</w:t>
      </w:r>
      <w:r w:rsidR="00643946" w:rsidRPr="003F50AF">
        <w:rPr>
          <w:rFonts w:cs="Times New Roman"/>
          <w:b/>
        </w:rPr>
        <w:t xml:space="preserve">, Paris, </w:t>
      </w:r>
      <w:r>
        <w:rPr>
          <w:rFonts w:cs="Times New Roman"/>
          <w:b/>
        </w:rPr>
        <w:t>11-</w:t>
      </w:r>
      <w:r w:rsidR="00643946" w:rsidRPr="003F50AF">
        <w:rPr>
          <w:rFonts w:cs="Times New Roman"/>
          <w:b/>
        </w:rPr>
        <w:t>12 avril 2013</w:t>
      </w:r>
    </w:p>
    <w:p w:rsidR="00643946" w:rsidRPr="003F50AF" w:rsidRDefault="00643946" w:rsidP="00643946">
      <w:pPr>
        <w:spacing w:after="0" w:line="240" w:lineRule="auto"/>
        <w:ind w:firstLine="0"/>
        <w:jc w:val="center"/>
        <w:rPr>
          <w:rFonts w:ascii="Tahoma" w:hAnsi="Tahoma" w:cs="Tahoma"/>
          <w:b/>
          <w:sz w:val="28"/>
        </w:rPr>
      </w:pPr>
    </w:p>
    <w:p w:rsidR="00643946" w:rsidRPr="00760823" w:rsidRDefault="00643946" w:rsidP="00643946">
      <w:pPr>
        <w:spacing w:after="0" w:line="240" w:lineRule="auto"/>
        <w:ind w:firstLine="0"/>
        <w:jc w:val="center"/>
        <w:rPr>
          <w:rFonts w:ascii="Tahoma" w:hAnsi="Tahoma" w:cs="Tahoma"/>
          <w:b/>
          <w:sz w:val="28"/>
          <w:lang w:val="en-US"/>
        </w:rPr>
      </w:pPr>
      <w:r w:rsidRPr="00760823">
        <w:rPr>
          <w:rFonts w:ascii="Tahoma" w:hAnsi="Tahoma" w:cs="Tahoma"/>
          <w:b/>
          <w:sz w:val="28"/>
          <w:lang w:val="en-US"/>
        </w:rPr>
        <w:t>Mature MFIs and Entrepreneurs from Developing Countries: The Levi-Strauss’s Contribution on the challenging Gap between Rationalities</w:t>
      </w:r>
    </w:p>
    <w:p w:rsidR="00643946" w:rsidRPr="00643946" w:rsidRDefault="00643946" w:rsidP="00643946">
      <w:pPr>
        <w:spacing w:after="0" w:line="240" w:lineRule="auto"/>
        <w:ind w:firstLine="0"/>
        <w:jc w:val="center"/>
        <w:outlineLvl w:val="0"/>
        <w:rPr>
          <w:rFonts w:ascii="Tahoma" w:eastAsia="Times New Roman" w:hAnsi="Tahoma" w:cs="Tahoma"/>
          <w:b/>
          <w:sz w:val="28"/>
          <w:szCs w:val="24"/>
          <w:lang w:val="en-US" w:eastAsia="fr-FR"/>
        </w:rPr>
      </w:pPr>
    </w:p>
    <w:p w:rsidR="00643946" w:rsidRPr="00643946" w:rsidRDefault="00643946" w:rsidP="00643946">
      <w:pPr>
        <w:spacing w:after="0" w:line="240" w:lineRule="auto"/>
        <w:ind w:firstLine="0"/>
        <w:jc w:val="center"/>
        <w:outlineLvl w:val="0"/>
        <w:rPr>
          <w:rFonts w:ascii="Tahoma" w:eastAsia="Times New Roman" w:hAnsi="Tahoma" w:cs="Tahoma"/>
          <w:b/>
          <w:sz w:val="28"/>
          <w:szCs w:val="24"/>
          <w:lang w:val="en-US" w:eastAsia="fr-FR"/>
        </w:rPr>
        <w:sectPr w:rsidR="00643946" w:rsidRPr="00643946">
          <w:footerReference w:type="default" r:id="rId9"/>
          <w:pgSz w:w="11906" w:h="16838"/>
          <w:pgMar w:top="1417" w:right="1417" w:bottom="1417" w:left="1417" w:header="708" w:footer="708" w:gutter="0"/>
          <w:cols w:space="708"/>
          <w:docGrid w:linePitch="360"/>
        </w:sectPr>
      </w:pPr>
    </w:p>
    <w:p w:rsidR="00643946" w:rsidRPr="00643946" w:rsidRDefault="00643946" w:rsidP="00643946">
      <w:pPr>
        <w:spacing w:after="0" w:line="240" w:lineRule="auto"/>
        <w:ind w:firstLine="0"/>
        <w:jc w:val="center"/>
        <w:outlineLvl w:val="0"/>
        <w:rPr>
          <w:rFonts w:ascii="Tahoma" w:eastAsia="Times New Roman" w:hAnsi="Tahoma" w:cs="Tahoma"/>
          <w:b/>
          <w:sz w:val="22"/>
          <w:szCs w:val="24"/>
          <w:lang w:eastAsia="fr-FR"/>
        </w:rPr>
      </w:pPr>
      <w:r w:rsidRPr="00643946">
        <w:rPr>
          <w:rFonts w:ascii="Tahoma" w:eastAsia="Times New Roman" w:hAnsi="Tahoma" w:cs="Tahoma"/>
          <w:b/>
          <w:sz w:val="22"/>
          <w:szCs w:val="24"/>
          <w:lang w:eastAsia="fr-FR"/>
        </w:rPr>
        <w:lastRenderedPageBreak/>
        <w:t>Sandrine Ansart</w:t>
      </w:r>
    </w:p>
    <w:p w:rsidR="00643946" w:rsidRPr="00643946" w:rsidRDefault="00643946" w:rsidP="00643946">
      <w:pPr>
        <w:spacing w:after="0" w:line="240" w:lineRule="auto"/>
        <w:ind w:firstLine="0"/>
        <w:jc w:val="center"/>
        <w:rPr>
          <w:rFonts w:ascii="Tahoma" w:eastAsia="Times New Roman" w:hAnsi="Tahoma" w:cs="Tahoma"/>
          <w:sz w:val="22"/>
          <w:szCs w:val="24"/>
          <w:lang w:eastAsia="fr-FR"/>
        </w:rPr>
      </w:pPr>
      <w:r w:rsidRPr="00643946">
        <w:rPr>
          <w:rFonts w:ascii="Tahoma" w:eastAsia="Times New Roman" w:hAnsi="Tahoma" w:cs="Tahoma"/>
          <w:sz w:val="22"/>
          <w:szCs w:val="24"/>
          <w:lang w:eastAsia="fr-FR"/>
        </w:rPr>
        <w:t>Associate Professor</w:t>
      </w:r>
    </w:p>
    <w:p w:rsidR="00643946" w:rsidRPr="00643946" w:rsidRDefault="00643946" w:rsidP="00643946">
      <w:pPr>
        <w:spacing w:after="0" w:line="240" w:lineRule="auto"/>
        <w:ind w:firstLine="0"/>
        <w:jc w:val="center"/>
        <w:rPr>
          <w:rFonts w:ascii="Tahoma" w:eastAsia="Times New Roman" w:hAnsi="Tahoma" w:cs="Tahoma"/>
          <w:sz w:val="22"/>
          <w:szCs w:val="24"/>
          <w:lang w:eastAsia="fr-FR"/>
        </w:rPr>
      </w:pPr>
      <w:r w:rsidRPr="00643946">
        <w:rPr>
          <w:rFonts w:ascii="Tahoma" w:eastAsia="Times New Roman" w:hAnsi="Tahoma" w:cs="Tahoma"/>
          <w:sz w:val="22"/>
          <w:szCs w:val="24"/>
          <w:lang w:eastAsia="fr-FR"/>
        </w:rPr>
        <w:t xml:space="preserve">Grenoble </w:t>
      </w:r>
      <w:r w:rsidR="00BC4921" w:rsidRPr="00643946">
        <w:rPr>
          <w:rFonts w:ascii="Tahoma" w:eastAsia="Times New Roman" w:hAnsi="Tahoma" w:cs="Tahoma"/>
          <w:sz w:val="22"/>
          <w:szCs w:val="24"/>
          <w:lang w:eastAsia="fr-FR"/>
        </w:rPr>
        <w:t>École</w:t>
      </w:r>
      <w:r w:rsidRPr="00643946">
        <w:rPr>
          <w:rFonts w:ascii="Tahoma" w:eastAsia="Times New Roman" w:hAnsi="Tahoma" w:cs="Tahoma"/>
          <w:sz w:val="22"/>
          <w:szCs w:val="24"/>
          <w:lang w:eastAsia="fr-FR"/>
        </w:rPr>
        <w:t xml:space="preserve"> de Management</w:t>
      </w:r>
    </w:p>
    <w:p w:rsidR="00643946" w:rsidRPr="00643946" w:rsidRDefault="00643946" w:rsidP="00643946">
      <w:pPr>
        <w:spacing w:after="0" w:line="240" w:lineRule="auto"/>
        <w:ind w:firstLine="0"/>
        <w:jc w:val="center"/>
        <w:rPr>
          <w:rFonts w:ascii="Tahoma" w:eastAsia="Times New Roman" w:hAnsi="Tahoma" w:cs="Tahoma"/>
          <w:sz w:val="20"/>
          <w:szCs w:val="20"/>
          <w:lang w:eastAsia="fr-FR"/>
        </w:rPr>
      </w:pPr>
      <w:r w:rsidRPr="00643946">
        <w:rPr>
          <w:rFonts w:ascii="Tahoma" w:eastAsia="Times New Roman" w:hAnsi="Tahoma" w:cs="Tahoma"/>
          <w:sz w:val="20"/>
          <w:szCs w:val="20"/>
          <w:lang w:eastAsia="fr-FR"/>
        </w:rPr>
        <w:t>12 rue Pierre Sémard</w:t>
      </w:r>
    </w:p>
    <w:p w:rsidR="00643946" w:rsidRPr="00643946" w:rsidRDefault="00643946" w:rsidP="00643946">
      <w:pPr>
        <w:spacing w:after="0" w:line="240" w:lineRule="auto"/>
        <w:ind w:firstLine="0"/>
        <w:jc w:val="center"/>
        <w:rPr>
          <w:rFonts w:ascii="Tahoma" w:eastAsia="Times New Roman" w:hAnsi="Tahoma" w:cs="Tahoma"/>
          <w:sz w:val="20"/>
          <w:szCs w:val="20"/>
          <w:lang w:eastAsia="fr-FR"/>
        </w:rPr>
      </w:pPr>
      <w:r w:rsidRPr="00643946">
        <w:rPr>
          <w:rFonts w:ascii="Tahoma" w:eastAsia="Times New Roman" w:hAnsi="Tahoma" w:cs="Tahoma"/>
          <w:sz w:val="20"/>
          <w:szCs w:val="20"/>
          <w:lang w:eastAsia="fr-FR"/>
        </w:rPr>
        <w:t>38000 Grenoble</w:t>
      </w:r>
    </w:p>
    <w:p w:rsidR="00643946" w:rsidRPr="00643946" w:rsidRDefault="00643946" w:rsidP="00643946">
      <w:pPr>
        <w:spacing w:after="0" w:line="240" w:lineRule="auto"/>
        <w:ind w:firstLine="0"/>
        <w:jc w:val="center"/>
        <w:rPr>
          <w:rFonts w:ascii="Tahoma" w:eastAsia="Times New Roman" w:hAnsi="Tahoma" w:cs="Tahoma"/>
          <w:sz w:val="20"/>
          <w:szCs w:val="20"/>
          <w:lang w:eastAsia="fr-FR"/>
        </w:rPr>
      </w:pPr>
      <w:r w:rsidRPr="00643946">
        <w:rPr>
          <w:rFonts w:ascii="Tahoma" w:eastAsia="Times New Roman" w:hAnsi="Tahoma" w:cs="Tahoma"/>
          <w:sz w:val="20"/>
          <w:szCs w:val="20"/>
          <w:lang w:eastAsia="fr-FR"/>
        </w:rPr>
        <w:t>+33.4.76.70.64.09</w:t>
      </w:r>
    </w:p>
    <w:p w:rsidR="00643946" w:rsidRPr="00643946" w:rsidRDefault="00643946" w:rsidP="00643946">
      <w:pPr>
        <w:spacing w:after="0" w:line="240" w:lineRule="auto"/>
        <w:ind w:firstLine="0"/>
        <w:jc w:val="center"/>
        <w:rPr>
          <w:rFonts w:ascii="Tahoma" w:eastAsia="Times New Roman" w:hAnsi="Tahoma" w:cs="Tahoma"/>
          <w:color w:val="0000FF"/>
          <w:sz w:val="20"/>
          <w:szCs w:val="20"/>
          <w:u w:val="single"/>
          <w:lang w:eastAsia="fr-FR"/>
        </w:rPr>
      </w:pPr>
      <w:r w:rsidRPr="00643946">
        <w:rPr>
          <w:rFonts w:ascii="Tahoma" w:eastAsia="Times New Roman" w:hAnsi="Tahoma" w:cs="Tahoma"/>
          <w:color w:val="0000FF"/>
          <w:sz w:val="20"/>
          <w:szCs w:val="20"/>
          <w:u w:val="single"/>
          <w:lang w:eastAsia="fr-FR"/>
        </w:rPr>
        <w:t>Sandrine.ANSART@grenoble-em.com</w:t>
      </w:r>
    </w:p>
    <w:p w:rsidR="00643946" w:rsidRPr="00643946" w:rsidRDefault="00643946" w:rsidP="00643946">
      <w:pPr>
        <w:spacing w:after="0" w:line="240" w:lineRule="auto"/>
        <w:ind w:firstLine="0"/>
        <w:jc w:val="center"/>
        <w:rPr>
          <w:rFonts w:ascii="Tahoma" w:eastAsia="Times New Roman" w:hAnsi="Tahoma" w:cs="Tahoma"/>
          <w:b/>
          <w:smallCaps/>
          <w:sz w:val="18"/>
          <w:lang w:eastAsia="fr-FR"/>
        </w:rPr>
      </w:pPr>
    </w:p>
    <w:p w:rsidR="00643946" w:rsidRPr="00643946" w:rsidRDefault="00643946" w:rsidP="00643946">
      <w:pPr>
        <w:spacing w:after="0" w:line="240" w:lineRule="auto"/>
        <w:ind w:firstLine="0"/>
        <w:jc w:val="center"/>
        <w:rPr>
          <w:rFonts w:eastAsia="Times New Roman" w:cs="Times New Roman"/>
          <w:sz w:val="18"/>
          <w:lang w:eastAsia="fr-FR"/>
        </w:rPr>
      </w:pPr>
    </w:p>
    <w:p w:rsidR="00643946" w:rsidRPr="00643946" w:rsidRDefault="00643946" w:rsidP="00643946">
      <w:pPr>
        <w:spacing w:after="0" w:line="240" w:lineRule="auto"/>
        <w:ind w:firstLine="0"/>
        <w:jc w:val="center"/>
        <w:outlineLvl w:val="0"/>
        <w:rPr>
          <w:rFonts w:ascii="Tahoma" w:eastAsia="Times New Roman" w:hAnsi="Tahoma" w:cs="Tahoma"/>
          <w:b/>
          <w:sz w:val="22"/>
          <w:szCs w:val="24"/>
          <w:lang w:eastAsia="fr-FR"/>
        </w:rPr>
      </w:pPr>
      <w:r w:rsidRPr="00643946">
        <w:rPr>
          <w:rFonts w:ascii="Tahoma" w:eastAsia="Times New Roman" w:hAnsi="Tahoma" w:cs="Tahoma"/>
          <w:b/>
          <w:sz w:val="22"/>
          <w:szCs w:val="24"/>
          <w:lang w:eastAsia="fr-FR"/>
        </w:rPr>
        <w:lastRenderedPageBreak/>
        <w:t>Virginie Monvoisin</w:t>
      </w:r>
    </w:p>
    <w:p w:rsidR="00643946" w:rsidRPr="00643946" w:rsidRDefault="00643946" w:rsidP="00643946">
      <w:pPr>
        <w:spacing w:after="0" w:line="240" w:lineRule="auto"/>
        <w:ind w:firstLine="0"/>
        <w:jc w:val="center"/>
        <w:rPr>
          <w:rFonts w:ascii="Tahoma" w:eastAsia="Times New Roman" w:hAnsi="Tahoma" w:cs="Tahoma"/>
          <w:sz w:val="22"/>
          <w:szCs w:val="24"/>
          <w:lang w:eastAsia="fr-FR"/>
        </w:rPr>
      </w:pPr>
      <w:r w:rsidRPr="00643946">
        <w:rPr>
          <w:rFonts w:ascii="Tahoma" w:eastAsia="Times New Roman" w:hAnsi="Tahoma" w:cs="Tahoma"/>
          <w:sz w:val="22"/>
          <w:szCs w:val="24"/>
          <w:lang w:eastAsia="fr-FR"/>
        </w:rPr>
        <w:t>Associate Professor</w:t>
      </w:r>
    </w:p>
    <w:p w:rsidR="00643946" w:rsidRPr="00643946" w:rsidRDefault="00643946" w:rsidP="00643946">
      <w:pPr>
        <w:spacing w:after="0" w:line="240" w:lineRule="auto"/>
        <w:ind w:firstLine="0"/>
        <w:jc w:val="center"/>
        <w:rPr>
          <w:rFonts w:ascii="Tahoma" w:eastAsia="Times New Roman" w:hAnsi="Tahoma" w:cs="Tahoma"/>
          <w:sz w:val="22"/>
          <w:szCs w:val="24"/>
          <w:lang w:eastAsia="fr-FR"/>
        </w:rPr>
      </w:pPr>
      <w:r w:rsidRPr="00643946">
        <w:rPr>
          <w:rFonts w:ascii="Tahoma" w:eastAsia="Times New Roman" w:hAnsi="Tahoma" w:cs="Tahoma"/>
          <w:sz w:val="22"/>
          <w:szCs w:val="24"/>
          <w:lang w:eastAsia="fr-FR"/>
        </w:rPr>
        <w:t xml:space="preserve">Grenoble </w:t>
      </w:r>
      <w:r w:rsidR="00BC4921" w:rsidRPr="00643946">
        <w:rPr>
          <w:rFonts w:ascii="Tahoma" w:eastAsia="Times New Roman" w:hAnsi="Tahoma" w:cs="Tahoma"/>
          <w:sz w:val="22"/>
          <w:szCs w:val="24"/>
          <w:lang w:eastAsia="fr-FR"/>
        </w:rPr>
        <w:t>École</w:t>
      </w:r>
      <w:r w:rsidRPr="00643946">
        <w:rPr>
          <w:rFonts w:ascii="Tahoma" w:eastAsia="Times New Roman" w:hAnsi="Tahoma" w:cs="Tahoma"/>
          <w:sz w:val="22"/>
          <w:szCs w:val="24"/>
          <w:lang w:eastAsia="fr-FR"/>
        </w:rPr>
        <w:t xml:space="preserve"> de Management</w:t>
      </w:r>
    </w:p>
    <w:p w:rsidR="00643946" w:rsidRPr="00643946" w:rsidRDefault="00643946" w:rsidP="00643946">
      <w:pPr>
        <w:spacing w:after="0" w:line="240" w:lineRule="auto"/>
        <w:ind w:firstLine="0"/>
        <w:jc w:val="center"/>
        <w:rPr>
          <w:rFonts w:ascii="Tahoma" w:eastAsia="Times New Roman" w:hAnsi="Tahoma" w:cs="Tahoma"/>
          <w:sz w:val="20"/>
          <w:szCs w:val="20"/>
          <w:lang w:eastAsia="fr-FR"/>
        </w:rPr>
      </w:pPr>
      <w:r w:rsidRPr="00643946">
        <w:rPr>
          <w:rFonts w:ascii="Tahoma" w:eastAsia="Times New Roman" w:hAnsi="Tahoma" w:cs="Tahoma"/>
          <w:sz w:val="20"/>
          <w:szCs w:val="20"/>
          <w:lang w:eastAsia="fr-FR"/>
        </w:rPr>
        <w:t>12 rue Pierre Sémard</w:t>
      </w:r>
    </w:p>
    <w:p w:rsidR="00643946" w:rsidRPr="00643946" w:rsidRDefault="00643946" w:rsidP="00643946">
      <w:pPr>
        <w:spacing w:after="0" w:line="240" w:lineRule="auto"/>
        <w:ind w:firstLine="0"/>
        <w:jc w:val="center"/>
        <w:rPr>
          <w:rFonts w:ascii="Tahoma" w:eastAsia="Times New Roman" w:hAnsi="Tahoma" w:cs="Tahoma"/>
          <w:sz w:val="20"/>
          <w:szCs w:val="20"/>
          <w:lang w:eastAsia="fr-FR"/>
        </w:rPr>
      </w:pPr>
      <w:r w:rsidRPr="00643946">
        <w:rPr>
          <w:rFonts w:ascii="Tahoma" w:eastAsia="Times New Roman" w:hAnsi="Tahoma" w:cs="Tahoma"/>
          <w:sz w:val="20"/>
          <w:szCs w:val="20"/>
          <w:lang w:eastAsia="fr-FR"/>
        </w:rPr>
        <w:t>38000 Grenoble</w:t>
      </w:r>
    </w:p>
    <w:p w:rsidR="00643946" w:rsidRPr="00643946" w:rsidRDefault="00643946" w:rsidP="00643946">
      <w:pPr>
        <w:spacing w:after="0" w:line="240" w:lineRule="auto"/>
        <w:ind w:firstLine="0"/>
        <w:jc w:val="center"/>
        <w:rPr>
          <w:rFonts w:ascii="Tahoma" w:eastAsia="Times New Roman" w:hAnsi="Tahoma" w:cs="Tahoma"/>
          <w:sz w:val="20"/>
          <w:szCs w:val="20"/>
          <w:lang w:eastAsia="fr-FR"/>
        </w:rPr>
      </w:pPr>
      <w:r w:rsidRPr="00643946">
        <w:rPr>
          <w:rFonts w:ascii="Tahoma" w:eastAsia="Times New Roman" w:hAnsi="Tahoma" w:cs="Tahoma"/>
          <w:sz w:val="20"/>
          <w:szCs w:val="20"/>
          <w:lang w:eastAsia="fr-FR"/>
        </w:rPr>
        <w:t>+33.4.76.70.62.13</w:t>
      </w:r>
    </w:p>
    <w:p w:rsidR="00643946" w:rsidRPr="00643946" w:rsidRDefault="00560E1E" w:rsidP="00643946">
      <w:pPr>
        <w:spacing w:after="0" w:line="240" w:lineRule="auto"/>
        <w:ind w:firstLine="0"/>
        <w:jc w:val="center"/>
        <w:rPr>
          <w:rFonts w:eastAsia="Times New Roman" w:cs="Times New Roman"/>
          <w:szCs w:val="20"/>
          <w:lang w:eastAsia="fr-FR"/>
        </w:rPr>
      </w:pPr>
      <w:hyperlink r:id="rId10" w:history="1">
        <w:r w:rsidR="00643946" w:rsidRPr="00643946">
          <w:rPr>
            <w:rFonts w:ascii="Tahoma" w:eastAsia="Times New Roman" w:hAnsi="Tahoma" w:cs="Tahoma"/>
            <w:color w:val="0000FF"/>
            <w:sz w:val="20"/>
            <w:szCs w:val="20"/>
            <w:u w:val="single"/>
            <w:lang w:eastAsia="fr-FR"/>
          </w:rPr>
          <w:t>vmonvoisin@grenoble-em.com</w:t>
        </w:r>
      </w:hyperlink>
    </w:p>
    <w:p w:rsidR="00643946" w:rsidRPr="00643946" w:rsidRDefault="00643946" w:rsidP="00643946">
      <w:pPr>
        <w:spacing w:after="0"/>
        <w:ind w:firstLine="0"/>
        <w:rPr>
          <w:rFonts w:eastAsia="Times New Roman" w:cs="Times New Roman"/>
          <w:b/>
          <w:i/>
          <w:smallCaps/>
          <w:szCs w:val="24"/>
          <w:lang w:eastAsia="fr-FR"/>
        </w:rPr>
        <w:sectPr w:rsidR="00643946" w:rsidRPr="00643946" w:rsidSect="0007429E">
          <w:type w:val="continuous"/>
          <w:pgSz w:w="11906" w:h="16838"/>
          <w:pgMar w:top="1417" w:right="1417" w:bottom="1417" w:left="1417" w:header="708" w:footer="708" w:gutter="0"/>
          <w:cols w:num="2" w:space="708"/>
          <w:docGrid w:linePitch="360"/>
        </w:sectPr>
      </w:pPr>
    </w:p>
    <w:p w:rsidR="00643946" w:rsidRDefault="00643946" w:rsidP="00643946">
      <w:pPr>
        <w:tabs>
          <w:tab w:val="center" w:pos="4536"/>
        </w:tabs>
        <w:spacing w:after="0"/>
        <w:ind w:firstLine="0"/>
        <w:outlineLvl w:val="0"/>
        <w:rPr>
          <w:rFonts w:eastAsia="Times New Roman" w:cs="Times New Roman"/>
          <w:szCs w:val="24"/>
          <w:lang w:eastAsia="fr-FR"/>
        </w:rPr>
      </w:pPr>
    </w:p>
    <w:p w:rsidR="00DF3507" w:rsidRPr="0075191E" w:rsidRDefault="00DF3507" w:rsidP="001F017D">
      <w:pPr>
        <w:tabs>
          <w:tab w:val="center" w:pos="4536"/>
        </w:tabs>
        <w:ind w:firstLine="0"/>
        <w:outlineLvl w:val="0"/>
        <w:rPr>
          <w:rFonts w:eastAsia="Times New Roman" w:cs="Times New Roman"/>
          <w:b/>
          <w:szCs w:val="24"/>
          <w:lang w:eastAsia="fr-FR"/>
        </w:rPr>
      </w:pPr>
      <w:r w:rsidRPr="0075191E">
        <w:rPr>
          <w:rFonts w:eastAsia="Times New Roman" w:cs="Times New Roman"/>
          <w:b/>
          <w:szCs w:val="24"/>
          <w:lang w:eastAsia="fr-FR"/>
        </w:rPr>
        <w:t>Résumé</w:t>
      </w:r>
    </w:p>
    <w:p w:rsidR="00DF3507" w:rsidRPr="0075191E" w:rsidRDefault="00DF3507" w:rsidP="001F017D">
      <w:pPr>
        <w:tabs>
          <w:tab w:val="center" w:pos="4536"/>
        </w:tabs>
        <w:ind w:firstLine="0"/>
        <w:jc w:val="both"/>
        <w:outlineLvl w:val="0"/>
        <w:rPr>
          <w:rFonts w:eastAsia="Times New Roman" w:cs="Times New Roman"/>
          <w:i/>
          <w:szCs w:val="24"/>
          <w:lang w:eastAsia="fr-FR"/>
        </w:rPr>
      </w:pPr>
      <w:r w:rsidRPr="0075191E">
        <w:rPr>
          <w:rFonts w:eastAsia="Times New Roman" w:cs="Times New Roman"/>
          <w:i/>
          <w:szCs w:val="24"/>
          <w:lang w:eastAsia="fr-FR"/>
        </w:rPr>
        <w:t>Alors que la maturité et la professionnalisation de la microfinance fait souvent l’</w:t>
      </w:r>
      <w:r w:rsidR="001F017D" w:rsidRPr="0075191E">
        <w:rPr>
          <w:rFonts w:eastAsia="Times New Roman" w:cs="Times New Roman"/>
          <w:i/>
          <w:szCs w:val="24"/>
          <w:lang w:eastAsia="fr-FR"/>
        </w:rPr>
        <w:t>objet de louanges, l’actualité est émaillée d’événements troublants et dramatiques relatifs au microcrédit. Le papier s’attache donc à revenir sur les biens fondés de cette maturité au vu de la clientèle traditionnelle des IMF. Pour cela, nous nous appuierons sur Lévi-Strauss afin de montrer la spécificité d’une clientèle de pays en voie de développement et peu au fait des questions économiques et comment le microcrédit a su répondre à leurs besoins en partageant la même logique. La maturité des IMF, les propulsant dans une autre logique, les éloigne des populations les plus concernées par le microcrédit.</w:t>
      </w:r>
    </w:p>
    <w:p w:rsidR="00DF3507" w:rsidRPr="0075191E" w:rsidRDefault="00DF3507" w:rsidP="00643946">
      <w:pPr>
        <w:tabs>
          <w:tab w:val="center" w:pos="4536"/>
        </w:tabs>
        <w:spacing w:after="0"/>
        <w:ind w:firstLine="0"/>
        <w:outlineLvl w:val="0"/>
        <w:rPr>
          <w:rFonts w:eastAsia="Times New Roman" w:cs="Times New Roman"/>
          <w:szCs w:val="24"/>
          <w:lang w:eastAsia="fr-FR"/>
        </w:rPr>
      </w:pPr>
    </w:p>
    <w:p w:rsidR="00DF3507" w:rsidRPr="00643946" w:rsidRDefault="00DF3507" w:rsidP="00643946">
      <w:pPr>
        <w:tabs>
          <w:tab w:val="center" w:pos="4536"/>
        </w:tabs>
        <w:spacing w:after="0"/>
        <w:ind w:firstLine="0"/>
        <w:outlineLvl w:val="0"/>
        <w:rPr>
          <w:rFonts w:eastAsia="Times New Roman" w:cs="Times New Roman"/>
          <w:szCs w:val="24"/>
          <w:lang w:eastAsia="fr-FR"/>
        </w:rPr>
      </w:pPr>
    </w:p>
    <w:p w:rsidR="00643946" w:rsidRDefault="00643946" w:rsidP="00643946">
      <w:pPr>
        <w:tabs>
          <w:tab w:val="center" w:pos="4536"/>
        </w:tabs>
        <w:spacing w:after="0"/>
        <w:ind w:firstLine="0"/>
        <w:outlineLvl w:val="0"/>
        <w:rPr>
          <w:rFonts w:eastAsia="Times New Roman" w:cs="Times New Roman"/>
          <w:b/>
          <w:szCs w:val="24"/>
          <w:lang w:val="en-GB" w:eastAsia="fr-FR"/>
        </w:rPr>
      </w:pPr>
      <w:r w:rsidRPr="00643946">
        <w:rPr>
          <w:rFonts w:eastAsia="Times New Roman" w:cs="Times New Roman"/>
          <w:b/>
          <w:szCs w:val="24"/>
          <w:lang w:val="en-GB" w:eastAsia="fr-FR"/>
        </w:rPr>
        <w:t xml:space="preserve">Key Words: </w:t>
      </w:r>
      <w:r w:rsidRPr="00643946">
        <w:rPr>
          <w:rFonts w:eastAsia="Times New Roman" w:cs="Times New Roman"/>
          <w:i/>
          <w:szCs w:val="24"/>
          <w:lang w:val="en-GB" w:eastAsia="fr-FR"/>
        </w:rPr>
        <w:t>Rationality, to tinker (bricoler), financial relationships</w:t>
      </w:r>
    </w:p>
    <w:p w:rsidR="00DF3507" w:rsidRPr="00DF3507" w:rsidRDefault="00DF3507" w:rsidP="00643946">
      <w:pPr>
        <w:tabs>
          <w:tab w:val="center" w:pos="4536"/>
        </w:tabs>
        <w:spacing w:after="0"/>
        <w:ind w:firstLine="0"/>
        <w:outlineLvl w:val="0"/>
        <w:rPr>
          <w:rFonts w:eastAsia="Times New Roman" w:cs="Times New Roman"/>
          <w:b/>
          <w:szCs w:val="24"/>
          <w:lang w:val="en-GB" w:eastAsia="fr-FR"/>
        </w:rPr>
      </w:pPr>
    </w:p>
    <w:p w:rsidR="00643946" w:rsidRPr="00643946" w:rsidRDefault="00643946" w:rsidP="00643946">
      <w:pPr>
        <w:tabs>
          <w:tab w:val="center" w:pos="4536"/>
        </w:tabs>
        <w:spacing w:after="0"/>
        <w:ind w:firstLine="0"/>
        <w:outlineLvl w:val="0"/>
        <w:rPr>
          <w:rFonts w:eastAsia="Times New Roman" w:cs="Times New Roman"/>
          <w:b/>
          <w:szCs w:val="24"/>
          <w:lang w:eastAsia="fr-FR"/>
        </w:rPr>
      </w:pPr>
      <w:r w:rsidRPr="00643946">
        <w:rPr>
          <w:rFonts w:eastAsia="Times New Roman" w:cs="Times New Roman"/>
          <w:b/>
          <w:szCs w:val="24"/>
          <w:lang w:eastAsia="fr-FR"/>
        </w:rPr>
        <w:t xml:space="preserve">JEL Codes : </w:t>
      </w:r>
      <w:r w:rsidRPr="00643946">
        <w:rPr>
          <w:rFonts w:eastAsia="Times New Roman" w:cs="Times New Roman"/>
          <w:i/>
          <w:szCs w:val="24"/>
          <w:lang w:eastAsia="fr-FR"/>
        </w:rPr>
        <w:t>B15, E26, G29, O17, Z13</w:t>
      </w:r>
    </w:p>
    <w:p w:rsidR="00643946" w:rsidRPr="00643946" w:rsidRDefault="00643946" w:rsidP="00643946">
      <w:pPr>
        <w:spacing w:after="200" w:line="276" w:lineRule="auto"/>
        <w:ind w:firstLine="0"/>
        <w:rPr>
          <w:rFonts w:eastAsia="Times New Roman" w:cs="Times New Roman"/>
          <w:szCs w:val="24"/>
          <w:lang w:eastAsia="fr-FR"/>
        </w:rPr>
      </w:pPr>
      <w:r w:rsidRPr="00643946">
        <w:rPr>
          <w:rFonts w:eastAsia="Times New Roman" w:cs="Times New Roman"/>
          <w:szCs w:val="24"/>
          <w:lang w:eastAsia="fr-FR"/>
        </w:rPr>
        <w:br w:type="page"/>
      </w:r>
    </w:p>
    <w:p w:rsidR="00643946" w:rsidRPr="00643946" w:rsidRDefault="00643946" w:rsidP="00643946">
      <w:pPr>
        <w:tabs>
          <w:tab w:val="center" w:pos="4536"/>
        </w:tabs>
        <w:spacing w:after="240"/>
        <w:ind w:firstLine="0"/>
        <w:outlineLvl w:val="0"/>
        <w:rPr>
          <w:rFonts w:eastAsia="Times New Roman" w:cs="Times New Roman"/>
          <w:b/>
          <w:sz w:val="28"/>
          <w:szCs w:val="24"/>
          <w:lang w:eastAsia="fr-FR"/>
        </w:rPr>
      </w:pPr>
      <w:r w:rsidRPr="00643946">
        <w:rPr>
          <w:rFonts w:eastAsia="Times New Roman" w:cs="Times New Roman"/>
          <w:b/>
          <w:sz w:val="28"/>
          <w:szCs w:val="24"/>
          <w:lang w:eastAsia="fr-FR"/>
        </w:rPr>
        <w:lastRenderedPageBreak/>
        <w:t>Introduction</w:t>
      </w:r>
    </w:p>
    <w:p w:rsidR="00286978" w:rsidRPr="00286978" w:rsidRDefault="00286978" w:rsidP="00286978">
      <w:pPr>
        <w:ind w:firstLine="0"/>
        <w:jc w:val="both"/>
        <w:rPr>
          <w:rFonts w:eastAsia="Times New Roman" w:cs="Times New Roman"/>
          <w:szCs w:val="24"/>
          <w:lang w:eastAsia="fr-FR"/>
        </w:rPr>
      </w:pPr>
      <w:r w:rsidRPr="00286978">
        <w:rPr>
          <w:rFonts w:eastAsia="Times New Roman" w:cs="Times New Roman"/>
          <w:szCs w:val="24"/>
          <w:lang w:eastAsia="fr-FR"/>
        </w:rPr>
        <w:t xml:space="preserve">La crise financière qui persiste depuis maintenant plusieurs années soulève de nombreuses interrogations portant sur le fonctionnement de la sphère financière. La crise a notamment rappelé l’enjeu de la </w:t>
      </w:r>
      <w:r w:rsidRPr="00286978">
        <w:rPr>
          <w:rFonts w:eastAsia="Times New Roman" w:cs="Times New Roman"/>
          <w:b/>
          <w:bCs/>
          <w:szCs w:val="24"/>
          <w:lang w:eastAsia="fr-FR"/>
        </w:rPr>
        <w:t>relation financeur-financé</w:t>
      </w:r>
      <w:r w:rsidRPr="00286978">
        <w:rPr>
          <w:rFonts w:eastAsia="Times New Roman" w:cs="Times New Roman"/>
          <w:szCs w:val="24"/>
          <w:lang w:eastAsia="fr-FR"/>
        </w:rPr>
        <w:t xml:space="preserve"> en soulignant l’importance de </w:t>
      </w:r>
      <w:r w:rsidR="00123055">
        <w:rPr>
          <w:rFonts w:eastAsia="Times New Roman" w:cs="Times New Roman"/>
          <w:szCs w:val="24"/>
          <w:lang w:eastAsia="fr-FR"/>
        </w:rPr>
        <w:t>l</w:t>
      </w:r>
      <w:r w:rsidRPr="00286978">
        <w:rPr>
          <w:rFonts w:eastAsia="Times New Roman" w:cs="Times New Roman"/>
          <w:szCs w:val="24"/>
          <w:lang w:eastAsia="fr-FR"/>
        </w:rPr>
        <w:t xml:space="preserve">a viabilité </w:t>
      </w:r>
      <w:r w:rsidR="00123055">
        <w:rPr>
          <w:rFonts w:eastAsia="Times New Roman" w:cs="Times New Roman"/>
          <w:szCs w:val="24"/>
          <w:lang w:eastAsia="fr-FR"/>
        </w:rPr>
        <w:t xml:space="preserve">de cette relation </w:t>
      </w:r>
      <w:r w:rsidRPr="00286978">
        <w:rPr>
          <w:rFonts w:eastAsia="Times New Roman" w:cs="Times New Roman"/>
          <w:szCs w:val="24"/>
          <w:lang w:eastAsia="fr-FR"/>
        </w:rPr>
        <w:t xml:space="preserve">comme élément crucial du maintien ou du développement de l’activité économique. La mise en place récente par l’État français de médiateurs du crédit pour maintenir la relation financière entre banquiers et entreprises en témoigne. </w:t>
      </w:r>
    </w:p>
    <w:p w:rsidR="00286978" w:rsidRPr="00286978" w:rsidRDefault="00286978" w:rsidP="00286978">
      <w:pPr>
        <w:jc w:val="both"/>
        <w:rPr>
          <w:rFonts w:eastAsia="Times New Roman" w:cs="Times New Roman"/>
          <w:szCs w:val="24"/>
          <w:lang w:eastAsia="fr-FR"/>
        </w:rPr>
      </w:pPr>
      <w:r w:rsidRPr="00286978">
        <w:rPr>
          <w:rFonts w:eastAsia="Times New Roman" w:cs="Times New Roman"/>
          <w:szCs w:val="24"/>
          <w:lang w:eastAsia="fr-FR"/>
        </w:rPr>
        <w:t>Or</w:t>
      </w:r>
      <w:r w:rsidRPr="00286978">
        <w:rPr>
          <w:rFonts w:eastAsia="Times New Roman" w:cs="Times New Roman"/>
          <w:color w:val="000000" w:themeColor="text1"/>
          <w:szCs w:val="24"/>
          <w:lang w:eastAsia="fr-FR"/>
        </w:rPr>
        <w:t>, La microfinance n’est pas épargnée par les remises en cause touchant la finance et la relation financeur-financé, et les évolutions qu’elle a connues depuis une dizaine d’années relatives à sa « maturité », sa « professionnalisation » ou sa « commercialisation » peuvent laisser perplexes, voire susciter de l’inquiétude</w:t>
      </w:r>
      <w:r w:rsidR="00CB0933">
        <w:rPr>
          <w:rStyle w:val="FootnoteReference"/>
          <w:rFonts w:eastAsia="Times New Roman" w:cs="Times New Roman"/>
          <w:color w:val="000000" w:themeColor="text1"/>
          <w:szCs w:val="24"/>
          <w:lang w:eastAsia="fr-FR"/>
        </w:rPr>
        <w:footnoteReference w:id="1"/>
      </w:r>
      <w:r w:rsidRPr="00286978">
        <w:rPr>
          <w:rFonts w:eastAsia="Times New Roman" w:cs="Times New Roman"/>
          <w:color w:val="000000" w:themeColor="text1"/>
          <w:szCs w:val="24"/>
          <w:lang w:eastAsia="fr-FR"/>
        </w:rPr>
        <w:t>. En effet, derrière ces termes, se cachent des transformations semble-t-il majeures de la microfinance et de fait des pratiques de ces institutions. Ces dernières seraient de plus en plus influencées par les pratiques du système financier conventionnel</w:t>
      </w:r>
      <w:r w:rsidR="00123055">
        <w:rPr>
          <w:rFonts w:eastAsia="Times New Roman" w:cs="Times New Roman"/>
          <w:color w:val="000000" w:themeColor="text1"/>
          <w:szCs w:val="24"/>
          <w:lang w:eastAsia="fr-FR"/>
        </w:rPr>
        <w:t xml:space="preserve"> – voire s’ajusteraient sur elles</w:t>
      </w:r>
      <w:r w:rsidR="00123055" w:rsidRPr="00286978">
        <w:rPr>
          <w:rFonts w:eastAsia="Times New Roman" w:cs="Times New Roman"/>
          <w:color w:val="000000" w:themeColor="text1"/>
          <w:szCs w:val="24"/>
          <w:lang w:eastAsia="fr-FR"/>
        </w:rPr>
        <w:t xml:space="preserve"> –</w:t>
      </w:r>
      <w:r w:rsidRPr="00286978">
        <w:rPr>
          <w:rFonts w:eastAsia="Times New Roman" w:cs="Times New Roman"/>
          <w:color w:val="000000" w:themeColor="text1"/>
          <w:szCs w:val="24"/>
          <w:lang w:eastAsia="fr-FR"/>
        </w:rPr>
        <w:t>, en l’occurrence le système financier industrialisé et normé rencontré dans pays occidentaux.</w:t>
      </w:r>
    </w:p>
    <w:p w:rsidR="00286978" w:rsidRPr="00286978" w:rsidRDefault="00286978" w:rsidP="00286978">
      <w:pPr>
        <w:jc w:val="both"/>
        <w:rPr>
          <w:rFonts w:eastAsia="Times New Roman" w:cs="Times New Roman"/>
          <w:szCs w:val="24"/>
          <w:lang w:eastAsia="fr-FR"/>
        </w:rPr>
      </w:pPr>
      <w:r w:rsidRPr="00286978">
        <w:rPr>
          <w:rFonts w:eastAsia="Times New Roman" w:cs="Times New Roman"/>
          <w:szCs w:val="24"/>
          <w:lang w:eastAsia="fr-FR"/>
        </w:rPr>
        <w:t>Ainsi, derrière l’</w:t>
      </w:r>
      <w:r w:rsidRPr="002F5685">
        <w:rPr>
          <w:rFonts w:eastAsia="Times New Roman" w:cs="Times New Roman"/>
          <w:i/>
          <w:szCs w:val="24"/>
          <w:lang w:eastAsia="fr-FR"/>
        </w:rPr>
        <w:t>a</w:t>
      </w:r>
      <w:r w:rsidRPr="00286978">
        <w:rPr>
          <w:rFonts w:eastAsia="Times New Roman" w:cs="Times New Roman"/>
          <w:i/>
          <w:szCs w:val="24"/>
          <w:lang w:eastAsia="fr-FR"/>
        </w:rPr>
        <w:t xml:space="preserve"> priori</w:t>
      </w:r>
      <w:r w:rsidRPr="00286978">
        <w:rPr>
          <w:rFonts w:eastAsia="Times New Roman" w:cs="Times New Roman"/>
          <w:szCs w:val="24"/>
          <w:lang w:eastAsia="fr-FR"/>
        </w:rPr>
        <w:t xml:space="preserve"> louable </w:t>
      </w:r>
      <w:r w:rsidRPr="00286978">
        <w:rPr>
          <w:rFonts w:eastAsia="Times New Roman" w:cs="Times New Roman"/>
          <w:color w:val="000000" w:themeColor="text1"/>
          <w:szCs w:val="24"/>
          <w:lang w:eastAsia="fr-FR"/>
        </w:rPr>
        <w:t xml:space="preserve">que </w:t>
      </w:r>
      <w:r w:rsidR="00123055" w:rsidRPr="00286978">
        <w:rPr>
          <w:rFonts w:eastAsia="Times New Roman" w:cs="Times New Roman"/>
          <w:color w:val="000000" w:themeColor="text1"/>
          <w:szCs w:val="24"/>
          <w:lang w:eastAsia="fr-FR"/>
        </w:rPr>
        <w:t>suggère</w:t>
      </w:r>
      <w:r w:rsidRPr="00286978">
        <w:rPr>
          <w:rFonts w:eastAsia="Times New Roman" w:cs="Times New Roman"/>
          <w:color w:val="000000" w:themeColor="text1"/>
          <w:szCs w:val="24"/>
          <w:lang w:eastAsia="fr-FR"/>
        </w:rPr>
        <w:t xml:space="preserve"> la </w:t>
      </w:r>
      <w:r w:rsidRPr="00286978">
        <w:rPr>
          <w:rFonts w:eastAsia="Times New Roman" w:cs="Times New Roman"/>
          <w:szCs w:val="24"/>
          <w:lang w:eastAsia="fr-FR"/>
        </w:rPr>
        <w:t xml:space="preserve">« professionnalisation » des Institutions de MicroFinance (IMF), ne peut-on craindre une tendance à l’industrialisation et à la normalisation toutes deux à même de bouleverser, voire de déstabiliser, les pratiques informelles </w:t>
      </w:r>
      <w:r w:rsidRPr="00286978">
        <w:rPr>
          <w:rFonts w:eastAsia="Times New Roman" w:cs="Times New Roman"/>
          <w:b/>
          <w:bCs/>
          <w:szCs w:val="24"/>
          <w:lang w:eastAsia="fr-FR"/>
        </w:rPr>
        <w:t>– et indispensables –</w:t>
      </w:r>
      <w:r w:rsidRPr="00286978">
        <w:rPr>
          <w:rFonts w:eastAsia="Times New Roman" w:cs="Times New Roman"/>
          <w:szCs w:val="24"/>
          <w:lang w:eastAsia="fr-FR"/>
        </w:rPr>
        <w:t xml:space="preserve"> de ces organisations ? Ces mêmes pratiques informelles ont été largement reconnues comme un facteur déterminant de l’atteinte des objectifs associés à ces institutions, à savoir proposer des services financiers (épargne, crédit, moyens de paiement et assurances) à des populations qui en sont traditionnellement exclues, et ainsi contribuer à la réduction de la pauvreté. Rappelons que les pays en développement sont souvent marqués par un dualisme (Lewis, 1954 ; Perroux, 1961 ; Hi</w:t>
      </w:r>
      <w:r w:rsidR="00F239D8">
        <w:rPr>
          <w:rFonts w:eastAsia="Times New Roman" w:cs="Times New Roman"/>
          <w:szCs w:val="24"/>
          <w:lang w:eastAsia="fr-FR"/>
        </w:rPr>
        <w:t>rschman, 1958</w:t>
      </w:r>
      <w:r w:rsidRPr="00286978">
        <w:rPr>
          <w:rFonts w:eastAsia="Times New Roman" w:cs="Times New Roman"/>
          <w:szCs w:val="24"/>
          <w:lang w:eastAsia="fr-FR"/>
        </w:rPr>
        <w:t xml:space="preserve">) qui concerne notamment les secteurs d’activité ou le système financier. Quelle que soit la sphère concernée – économique ou financière –, coexistent un secteur formel et informel où </w:t>
      </w:r>
      <w:r w:rsidRPr="00286978">
        <w:rPr>
          <w:rFonts w:eastAsia="Times New Roman" w:cs="Times New Roman"/>
          <w:i/>
          <w:szCs w:val="24"/>
          <w:lang w:eastAsia="fr-FR"/>
        </w:rPr>
        <w:t>de facto</w:t>
      </w:r>
      <w:r w:rsidRPr="00286978">
        <w:rPr>
          <w:rFonts w:eastAsia="Times New Roman" w:cs="Times New Roman"/>
          <w:szCs w:val="24"/>
          <w:lang w:eastAsia="fr-FR"/>
        </w:rPr>
        <w:t xml:space="preserve"> le secteur financier formel s’articule à l’activité économique formelle, et le secteur financier informel aux activités économiques informelles. Ce dualisme – s’il peut être source de difficultés et de tensions – est aussi l’expression d’une capacité d’une s</w:t>
      </w:r>
      <w:bookmarkStart w:id="1" w:name="13cc81cb3290b0db__ftnref1"/>
      <w:r w:rsidRPr="00286978">
        <w:rPr>
          <w:rFonts w:eastAsia="Times New Roman" w:cs="Times New Roman"/>
          <w:szCs w:val="24"/>
          <w:lang w:eastAsia="fr-FR"/>
        </w:rPr>
        <w:t xml:space="preserve">ociété à satisfaire des </w:t>
      </w:r>
      <w:r w:rsidRPr="00286978">
        <w:rPr>
          <w:rFonts w:eastAsia="Times New Roman" w:cs="Times New Roman"/>
          <w:szCs w:val="24"/>
          <w:lang w:eastAsia="fr-FR"/>
        </w:rPr>
        <w:lastRenderedPageBreak/>
        <w:t>besoins</w:t>
      </w:r>
      <w:bookmarkEnd w:id="1"/>
      <w:r w:rsidRPr="00286978">
        <w:rPr>
          <w:rFonts w:eastAsia="Times New Roman" w:cs="Times New Roman"/>
          <w:szCs w:val="24"/>
          <w:vertAlign w:val="superscript"/>
          <w:lang w:eastAsia="fr-FR"/>
        </w:rPr>
        <w:footnoteReference w:id="2"/>
      </w:r>
      <w:r w:rsidRPr="00286978">
        <w:rPr>
          <w:rFonts w:eastAsia="Times New Roman" w:cs="Times New Roman"/>
          <w:szCs w:val="24"/>
          <w:lang w:eastAsia="fr-FR"/>
        </w:rPr>
        <w:t>. L’économie informelle dans sa globalité est considérée comme ayant une fonction régulatrice que certains n’hésitent pas à qualifier de salvatrice.</w:t>
      </w:r>
    </w:p>
    <w:p w:rsidR="00286978" w:rsidRPr="007B2185" w:rsidRDefault="00286978" w:rsidP="00286978">
      <w:pPr>
        <w:jc w:val="both"/>
        <w:rPr>
          <w:rFonts w:eastAsia="Times New Roman" w:cs="Times New Roman"/>
          <w:szCs w:val="24"/>
          <w:lang w:eastAsia="fr-FR"/>
        </w:rPr>
      </w:pPr>
      <w:r w:rsidRPr="00286978">
        <w:rPr>
          <w:rFonts w:eastAsia="Times New Roman" w:cs="Times New Roman"/>
          <w:szCs w:val="24"/>
          <w:lang w:eastAsia="fr-FR"/>
        </w:rPr>
        <w:t xml:space="preserve">En rappelant ce caractère incontournable et fondamental du secteur informel dans les PVD, l’enjeu de la relation financeur-financé doit s’inscrire dans la prise en compte de la relation entre le secteur économique et le système </w:t>
      </w:r>
      <w:r w:rsidRPr="007B2185">
        <w:rPr>
          <w:rFonts w:eastAsia="Times New Roman" w:cs="Times New Roman"/>
          <w:szCs w:val="24"/>
          <w:lang w:eastAsia="fr-FR"/>
        </w:rPr>
        <w:t xml:space="preserve">financier </w:t>
      </w:r>
      <w:r w:rsidR="00123055" w:rsidRPr="007B2185">
        <w:rPr>
          <w:rFonts w:eastAsia="Times New Roman" w:cs="Times New Roman"/>
          <w:szCs w:val="24"/>
          <w:lang w:eastAsia="fr-FR"/>
        </w:rPr>
        <w:t xml:space="preserve">en prenant en compte le niveau de </w:t>
      </w:r>
      <w:r w:rsidR="00123055" w:rsidRPr="00726BE0">
        <w:rPr>
          <w:rFonts w:eastAsia="Times New Roman" w:cs="Times New Roman"/>
          <w:szCs w:val="24"/>
          <w:lang w:eastAsia="fr-FR"/>
        </w:rPr>
        <w:t>formalité ou d’informalité de chacun</w:t>
      </w:r>
      <w:r w:rsidR="007B2185" w:rsidRPr="00726BE0">
        <w:rPr>
          <w:rFonts w:eastAsia="Times New Roman" w:cs="Times New Roman"/>
          <w:szCs w:val="24"/>
          <w:lang w:eastAsia="fr-FR"/>
        </w:rPr>
        <w:t xml:space="preserve"> et sa dimension sociale</w:t>
      </w:r>
      <w:r w:rsidRPr="00726BE0">
        <w:rPr>
          <w:rFonts w:eastAsia="Times New Roman" w:cs="Times New Roman"/>
          <w:szCs w:val="24"/>
          <w:lang w:eastAsia="fr-FR"/>
        </w:rPr>
        <w:t xml:space="preserve">. Cette question révèle toute son </w:t>
      </w:r>
      <w:r w:rsidRPr="00286978">
        <w:rPr>
          <w:rFonts w:eastAsia="Times New Roman" w:cs="Times New Roman"/>
          <w:szCs w:val="24"/>
          <w:lang w:eastAsia="fr-FR"/>
        </w:rPr>
        <w:t>acuité car l’un des piliers centraux de la relation financeur-financé qu’est l’usage de pratiques informelles se heurte immanquablement à la tendance à la banalisation</w:t>
      </w:r>
      <w:r w:rsidR="00EE005B" w:rsidRPr="003561A5">
        <w:rPr>
          <w:rStyle w:val="FootnoteReference"/>
          <w:rFonts w:cs="Times New Roman"/>
          <w:szCs w:val="24"/>
        </w:rPr>
        <w:footnoteReference w:id="3"/>
      </w:r>
      <w:r w:rsidRPr="00286978">
        <w:rPr>
          <w:rFonts w:eastAsia="Times New Roman" w:cs="Times New Roman"/>
          <w:szCs w:val="24"/>
          <w:lang w:eastAsia="fr-FR"/>
        </w:rPr>
        <w:t xml:space="preserve"> des IMF et donc au développement de pratiques formelles. Cette disjonction possible formel/informel peut-elle être déstabilisante, et dès lors nécessiter une attention particulière afin d’appréhender les </w:t>
      </w:r>
      <w:r w:rsidRPr="00726BE0">
        <w:rPr>
          <w:rFonts w:eastAsia="Times New Roman" w:cs="Times New Roman"/>
          <w:szCs w:val="24"/>
          <w:lang w:eastAsia="fr-FR"/>
        </w:rPr>
        <w:t xml:space="preserve">enjeux de l’évolution de la microfinance ? </w:t>
      </w:r>
      <w:r w:rsidRPr="00726BE0">
        <w:rPr>
          <w:rFonts w:eastAsia="Calibri" w:cs="Times New Roman"/>
          <w:b/>
          <w:szCs w:val="24"/>
        </w:rPr>
        <w:t>Or, n’y a-t-il pas nécessité d’adéquation entre les pratiques – o</w:t>
      </w:r>
      <w:r w:rsidR="00123055" w:rsidRPr="00726BE0">
        <w:rPr>
          <w:rFonts w:eastAsia="Calibri" w:cs="Times New Roman"/>
          <w:b/>
          <w:szCs w:val="24"/>
        </w:rPr>
        <w:t>u/et le niveau de développement –</w:t>
      </w:r>
      <w:r w:rsidRPr="00726BE0">
        <w:rPr>
          <w:rFonts w:eastAsia="Calibri" w:cs="Times New Roman"/>
          <w:b/>
          <w:szCs w:val="24"/>
        </w:rPr>
        <w:t xml:space="preserve"> d’un système financier et celles des bénéficiaires de ses financements</w:t>
      </w:r>
      <w:r w:rsidRPr="00726BE0">
        <w:rPr>
          <w:rFonts w:eastAsia="Calibri" w:cs="Times New Roman"/>
          <w:szCs w:val="24"/>
        </w:rPr>
        <w:t> ?</w:t>
      </w:r>
    </w:p>
    <w:p w:rsidR="00286978" w:rsidRPr="00286978" w:rsidRDefault="00286978" w:rsidP="00286978">
      <w:pPr>
        <w:jc w:val="both"/>
        <w:rPr>
          <w:rFonts w:eastAsia="Times New Roman" w:cs="Times New Roman"/>
          <w:szCs w:val="24"/>
        </w:rPr>
      </w:pPr>
      <w:r w:rsidRPr="00286978">
        <w:rPr>
          <w:rFonts w:eastAsia="Times New Roman" w:cs="Times New Roman"/>
          <w:szCs w:val="20"/>
          <w:lang w:eastAsia="fr-FR"/>
        </w:rPr>
        <w:t xml:space="preserve">Ici, l’apport de Claude Lévi-Strauss s’avère particulièrement éclairant. Dans la </w:t>
      </w:r>
      <w:r w:rsidRPr="00286978">
        <w:rPr>
          <w:rFonts w:eastAsia="Times New Roman" w:cs="Times New Roman"/>
          <w:i/>
          <w:szCs w:val="20"/>
          <w:lang w:eastAsia="fr-FR"/>
        </w:rPr>
        <w:t>Pensée Sauvage</w:t>
      </w:r>
      <w:r w:rsidRPr="00286978">
        <w:rPr>
          <w:rFonts w:eastAsia="Times New Roman" w:cs="Times New Roman"/>
          <w:szCs w:val="20"/>
          <w:lang w:eastAsia="fr-FR"/>
        </w:rPr>
        <w:t xml:space="preserve"> (1962), l’anthropologue entreprend de réhabiliter une pensée, une logique – voire même une rationalité – distincte de la pensée cultivée et formée, qu’est devenue la logique occidentale. </w:t>
      </w:r>
      <w:r w:rsidRPr="00286978">
        <w:rPr>
          <w:rFonts w:eastAsia="Times New Roman" w:cs="Times New Roman"/>
          <w:szCs w:val="24"/>
        </w:rPr>
        <w:t>Il révèle alors qu’à côté de la pensée occidentale-savante, il existe une pensée primitive, première. L’une n’est pas un préambule à l’autre et ces deux formes de logique peuvent coexister, avec leur propre complexité et leurs propres fonctionnements et solutions ; elles sont simplement différentes, sans être nécessairement opposées.</w:t>
      </w:r>
    </w:p>
    <w:p w:rsidR="00286978" w:rsidRPr="00286978" w:rsidRDefault="00286978" w:rsidP="00286978">
      <w:pPr>
        <w:tabs>
          <w:tab w:val="left" w:pos="284"/>
        </w:tabs>
        <w:jc w:val="both"/>
        <w:rPr>
          <w:rFonts w:eastAsia="Times New Roman" w:cs="Times New Roman"/>
          <w:szCs w:val="24"/>
        </w:rPr>
      </w:pPr>
      <w:r w:rsidRPr="00286978">
        <w:rPr>
          <w:rFonts w:eastAsia="Times New Roman" w:cs="Times New Roman"/>
          <w:szCs w:val="24"/>
        </w:rPr>
        <w:t xml:space="preserve">Or, c’est précisément ce qui semble se jouer avec la banalisation et la maturité de la microfinance. La professionnalisation de cette dernière répond à un besoin de rationalisation vue comme une mise en œuvre </w:t>
      </w:r>
      <w:r w:rsidRPr="00286978">
        <w:rPr>
          <w:rFonts w:eastAsia="Times New Roman" w:cs="Times New Roman"/>
          <w:i/>
          <w:szCs w:val="24"/>
        </w:rPr>
        <w:t>rationnelle</w:t>
      </w:r>
      <w:r w:rsidRPr="00286978">
        <w:rPr>
          <w:rFonts w:eastAsia="Times New Roman" w:cs="Times New Roman"/>
          <w:szCs w:val="24"/>
        </w:rPr>
        <w:t xml:space="preserve"> ; la rationalité occidentale selon Lévi-Strauss est bien mise en avant comme méthodologie économique. La microfinance tendrait à adopter cette pensée occidentale et sa </w:t>
      </w:r>
      <w:r w:rsidRPr="00286978">
        <w:rPr>
          <w:rFonts w:eastAsia="Times New Roman" w:cs="Times New Roman"/>
          <w:i/>
          <w:szCs w:val="24"/>
        </w:rPr>
        <w:t>logique abstraite</w:t>
      </w:r>
      <w:r w:rsidRPr="00286978">
        <w:rPr>
          <w:rFonts w:eastAsia="Times New Roman" w:cs="Times New Roman"/>
          <w:szCs w:val="24"/>
        </w:rPr>
        <w:t xml:space="preserve">. </w:t>
      </w:r>
      <w:r w:rsidRPr="00286978">
        <w:rPr>
          <w:rFonts w:eastAsia="Times New Roman" w:cs="Times New Roman"/>
          <w:i/>
          <w:szCs w:val="24"/>
        </w:rPr>
        <w:t>A contrario</w:t>
      </w:r>
      <w:r w:rsidRPr="00286978">
        <w:rPr>
          <w:rFonts w:eastAsia="Times New Roman" w:cs="Times New Roman"/>
          <w:szCs w:val="24"/>
        </w:rPr>
        <w:t xml:space="preserve">, la clientèle des PVD demeure par définition fragile, peu rompue à </w:t>
      </w:r>
      <w:r w:rsidRPr="00123055">
        <w:rPr>
          <w:rFonts w:eastAsia="Times New Roman" w:cs="Times New Roman"/>
          <w:szCs w:val="24"/>
        </w:rPr>
        <w:t xml:space="preserve">l’exercice formel d’une activité économique formalisée et/ou de moyenne ou grande ampleur. </w:t>
      </w:r>
      <w:r w:rsidRPr="00286978">
        <w:rPr>
          <w:rFonts w:eastAsia="Times New Roman" w:cs="Times New Roman"/>
          <w:szCs w:val="24"/>
        </w:rPr>
        <w:t xml:space="preserve">Sa logique, relevant du concret et du </w:t>
      </w:r>
      <w:r w:rsidRPr="00286978">
        <w:rPr>
          <w:rFonts w:eastAsia="Times New Roman" w:cs="Times New Roman"/>
          <w:i/>
          <w:szCs w:val="24"/>
        </w:rPr>
        <w:t>monde sensible</w:t>
      </w:r>
      <w:r w:rsidRPr="00286978">
        <w:rPr>
          <w:rFonts w:eastAsia="Times New Roman" w:cs="Times New Roman"/>
          <w:szCs w:val="24"/>
        </w:rPr>
        <w:t>, répond davantage à celle de la pensée première.</w:t>
      </w:r>
    </w:p>
    <w:p w:rsidR="00286978" w:rsidRPr="00286978" w:rsidRDefault="00286978" w:rsidP="00286978">
      <w:pPr>
        <w:jc w:val="both"/>
        <w:rPr>
          <w:rFonts w:eastAsia="Times New Roman" w:cs="Times New Roman"/>
          <w:szCs w:val="24"/>
        </w:rPr>
      </w:pPr>
      <w:r w:rsidRPr="00286978">
        <w:rPr>
          <w:rFonts w:eastAsia="Times New Roman" w:cs="Times New Roman"/>
          <w:szCs w:val="24"/>
        </w:rPr>
        <w:t xml:space="preserve">L’objet de cette contribution est double : elle vise donc à appréhender </w:t>
      </w:r>
      <w:r w:rsidRPr="00286978">
        <w:rPr>
          <w:rFonts w:eastAsia="Times New Roman" w:cs="Times New Roman"/>
          <w:b/>
          <w:szCs w:val="24"/>
        </w:rPr>
        <w:t>comment cette fracture culturelle entre une microfinance mature et une clientèle souvent précaire</w:t>
      </w:r>
      <w:r w:rsidRPr="00286978">
        <w:rPr>
          <w:rFonts w:eastAsia="Times New Roman" w:cs="Times New Roman"/>
          <w:b/>
          <w:i/>
          <w:szCs w:val="24"/>
        </w:rPr>
        <w:t xml:space="preserve"> </w:t>
      </w:r>
      <w:r w:rsidRPr="00286978">
        <w:rPr>
          <w:rFonts w:eastAsia="Times New Roman" w:cs="Times New Roman"/>
          <w:b/>
          <w:szCs w:val="24"/>
        </w:rPr>
        <w:t>et quasi informelle s’avère être une source de difficultés pour les deux acteurs</w:t>
      </w:r>
      <w:r w:rsidRPr="00286978">
        <w:rPr>
          <w:rFonts w:eastAsia="Times New Roman" w:cs="Times New Roman"/>
          <w:szCs w:val="24"/>
        </w:rPr>
        <w:t xml:space="preserve"> et repose aussi bien sur des </w:t>
      </w:r>
      <w:r w:rsidRPr="00286978">
        <w:rPr>
          <w:rFonts w:eastAsia="Times New Roman" w:cs="Times New Roman"/>
          <w:i/>
          <w:szCs w:val="24"/>
        </w:rPr>
        <w:t>modes de faire</w:t>
      </w:r>
      <w:r w:rsidRPr="00286978">
        <w:rPr>
          <w:rFonts w:eastAsia="Times New Roman" w:cs="Times New Roman"/>
          <w:szCs w:val="24"/>
        </w:rPr>
        <w:t xml:space="preserve"> que des </w:t>
      </w:r>
      <w:r w:rsidRPr="00286978">
        <w:rPr>
          <w:rFonts w:eastAsia="Times New Roman" w:cs="Times New Roman"/>
          <w:i/>
          <w:szCs w:val="24"/>
        </w:rPr>
        <w:t xml:space="preserve">modes de pensée </w:t>
      </w:r>
      <w:r w:rsidRPr="00286978">
        <w:rPr>
          <w:rFonts w:eastAsia="Times New Roman" w:cs="Times New Roman"/>
          <w:szCs w:val="24"/>
        </w:rPr>
        <w:t xml:space="preserve">et des rationalités différentes. Pour cela, nous reviendrons sur la distinction effectuée par Lévi-Strauss entre pensée première et pensée occidentale et comment cela se traduit dans les pratiques économiques de production ou de financement. Il nous sera alors possible </w:t>
      </w:r>
      <w:r w:rsidRPr="00286978">
        <w:rPr>
          <w:rFonts w:eastAsia="Times New Roman" w:cs="Times New Roman"/>
          <w:b/>
          <w:szCs w:val="24"/>
        </w:rPr>
        <w:t>de proposer une relecture de l’évolution de la microfinance d’une pensée à une autre</w:t>
      </w:r>
      <w:r w:rsidRPr="00286978">
        <w:rPr>
          <w:rFonts w:eastAsia="Times New Roman" w:cs="Times New Roman"/>
          <w:szCs w:val="24"/>
        </w:rPr>
        <w:t>, d’une rationalité à une autre, quand elle a quitté le secteur quasi informel pour se conformer davantage à un secteur formel, voire « rationnel » et efficient. Ainsi, nous pourrons expliciter la nature des problèmes générés par la banalisation de la microfinance à travers le creusement de la fracture entre sa logique et celle des entrepreneurs des pays en développement.</w:t>
      </w:r>
    </w:p>
    <w:p w:rsidR="00286978" w:rsidRDefault="00286978" w:rsidP="00286978">
      <w:pPr>
        <w:jc w:val="both"/>
        <w:rPr>
          <w:rFonts w:eastAsia="Times New Roman" w:cs="Times New Roman"/>
          <w:szCs w:val="24"/>
        </w:rPr>
      </w:pPr>
      <w:r w:rsidRPr="00286978">
        <w:rPr>
          <w:rFonts w:eastAsia="Times New Roman" w:cs="Times New Roman"/>
          <w:szCs w:val="24"/>
        </w:rPr>
        <w:t>Le plus grand danger auquel risque d’être confrontée la microfinance pourrait alors être celui qui consisterait à ne plus comprendre sa clientèle et ne plus être en phase avec elle. Alors une conception plus rationnelle et lucrative du financement déstabiliserait la relation de dette et potentiellement le soutien aux populations et donc leur développement.</w:t>
      </w:r>
    </w:p>
    <w:p w:rsidR="00577708" w:rsidRPr="00286978" w:rsidRDefault="00577708" w:rsidP="00286978">
      <w:pPr>
        <w:jc w:val="both"/>
        <w:rPr>
          <w:rFonts w:eastAsia="Times New Roman" w:cs="Times New Roman"/>
          <w:szCs w:val="24"/>
        </w:rPr>
      </w:pPr>
    </w:p>
    <w:p w:rsidR="00577708" w:rsidRPr="007B2185" w:rsidRDefault="00805286" w:rsidP="007B2185">
      <w:pPr>
        <w:pStyle w:val="ListParagraph"/>
        <w:numPr>
          <w:ilvl w:val="0"/>
          <w:numId w:val="13"/>
        </w:numPr>
        <w:spacing w:after="240"/>
        <w:ind w:left="567" w:hanging="567"/>
        <w:rPr>
          <w:rFonts w:cs="Times New Roman"/>
          <w:sz w:val="28"/>
          <w:szCs w:val="28"/>
        </w:rPr>
      </w:pPr>
      <w:r w:rsidRPr="007B2185">
        <w:rPr>
          <w:rFonts w:cs="Times New Roman"/>
          <w:b/>
          <w:sz w:val="28"/>
          <w:szCs w:val="28"/>
        </w:rPr>
        <w:t>Des t</w:t>
      </w:r>
      <w:r w:rsidR="00577708" w:rsidRPr="007B2185">
        <w:rPr>
          <w:rFonts w:cs="Times New Roman"/>
          <w:b/>
          <w:sz w:val="28"/>
          <w:szCs w:val="28"/>
        </w:rPr>
        <w:t xml:space="preserve">ensions </w:t>
      </w:r>
      <w:r w:rsidRPr="007B2185">
        <w:rPr>
          <w:rFonts w:cs="Times New Roman"/>
          <w:b/>
          <w:sz w:val="28"/>
          <w:szCs w:val="28"/>
        </w:rPr>
        <w:t xml:space="preserve">accrues </w:t>
      </w:r>
      <w:r w:rsidR="00577708" w:rsidRPr="007B2185">
        <w:rPr>
          <w:rFonts w:cs="Times New Roman"/>
          <w:b/>
          <w:sz w:val="28"/>
          <w:szCs w:val="28"/>
        </w:rPr>
        <w:t xml:space="preserve">sur </w:t>
      </w:r>
      <w:r w:rsidR="00541962" w:rsidRPr="007B2185">
        <w:rPr>
          <w:rFonts w:cs="Times New Roman"/>
          <w:b/>
          <w:sz w:val="28"/>
          <w:szCs w:val="28"/>
        </w:rPr>
        <w:t>la composante informelle</w:t>
      </w:r>
      <w:r w:rsidRPr="007B2185">
        <w:rPr>
          <w:rFonts w:cs="Times New Roman"/>
          <w:b/>
          <w:sz w:val="28"/>
          <w:szCs w:val="28"/>
        </w:rPr>
        <w:t xml:space="preserve"> </w:t>
      </w:r>
      <w:r w:rsidR="00577708" w:rsidRPr="007B2185">
        <w:rPr>
          <w:rFonts w:cs="Times New Roman"/>
          <w:b/>
          <w:sz w:val="28"/>
          <w:szCs w:val="28"/>
        </w:rPr>
        <w:t>des IMF</w:t>
      </w:r>
    </w:p>
    <w:p w:rsidR="00577708" w:rsidRPr="00577708" w:rsidRDefault="00577708" w:rsidP="00577708">
      <w:pPr>
        <w:spacing w:after="0"/>
        <w:ind w:firstLine="0"/>
        <w:jc w:val="both"/>
        <w:rPr>
          <w:rFonts w:cs="Times New Roman"/>
          <w:szCs w:val="24"/>
        </w:rPr>
      </w:pPr>
      <w:r w:rsidRPr="00577708">
        <w:rPr>
          <w:rFonts w:cs="Times New Roman"/>
          <w:szCs w:val="24"/>
        </w:rPr>
        <w:t>Les institutions</w:t>
      </w:r>
      <w:r w:rsidR="00541962">
        <w:rPr>
          <w:rFonts w:cs="Times New Roman"/>
          <w:szCs w:val="24"/>
        </w:rPr>
        <w:t xml:space="preserve"> des Micro</w:t>
      </w:r>
      <w:r>
        <w:rPr>
          <w:rFonts w:cs="Times New Roman"/>
          <w:szCs w:val="24"/>
        </w:rPr>
        <w:t>F</w:t>
      </w:r>
      <w:r w:rsidRPr="00577708">
        <w:rPr>
          <w:rFonts w:cs="Times New Roman"/>
          <w:szCs w:val="24"/>
        </w:rPr>
        <w:t>inance (IMF) ont un positionnement atypiqu</w:t>
      </w:r>
      <w:r w:rsidR="00EB6759">
        <w:rPr>
          <w:rFonts w:cs="Times New Roman"/>
          <w:szCs w:val="24"/>
        </w:rPr>
        <w:t>e au sein de ce dualisme formel-</w:t>
      </w:r>
      <w:r w:rsidRPr="00577708">
        <w:rPr>
          <w:rFonts w:cs="Times New Roman"/>
          <w:szCs w:val="24"/>
        </w:rPr>
        <w:t xml:space="preserve">informel du système financier des PVD. Par leur implantation, elles ont amené des éléments de formalisation au sens d’institutionnalisation et de contractualisation dans la relation financeur-financé de la finance informelle, sans pour autant basculer complètement dans cette </w:t>
      </w:r>
      <w:r w:rsidR="00A97EC7">
        <w:rPr>
          <w:rFonts w:cs="Times New Roman"/>
          <w:szCs w:val="24"/>
        </w:rPr>
        <w:t>formalisation. Ce caractère hybride</w:t>
      </w:r>
      <w:r w:rsidRPr="00577708">
        <w:rPr>
          <w:rFonts w:cs="Times New Roman"/>
          <w:szCs w:val="24"/>
        </w:rPr>
        <w:t xml:space="preserve"> formel</w:t>
      </w:r>
      <w:r w:rsidR="00EB6759">
        <w:rPr>
          <w:rFonts w:cs="Times New Roman"/>
          <w:szCs w:val="24"/>
        </w:rPr>
        <w:t>-</w:t>
      </w:r>
      <w:r w:rsidRPr="00577708">
        <w:rPr>
          <w:rFonts w:cs="Times New Roman"/>
          <w:szCs w:val="24"/>
        </w:rPr>
        <w:t>informel des IMF demande à être précisé dans la mesure où il peut s’avérer être un terrain fécond pour une formalisation accrue des institutions et de leurs pratiques, et induire ainsi une banalisation ente</w:t>
      </w:r>
      <w:r w:rsidR="00541962">
        <w:rPr>
          <w:rFonts w:cs="Times New Roman"/>
          <w:szCs w:val="24"/>
        </w:rPr>
        <w:t>ndue comme une normalisation de</w:t>
      </w:r>
      <w:r w:rsidRPr="00577708">
        <w:rPr>
          <w:rFonts w:cs="Times New Roman"/>
          <w:szCs w:val="24"/>
        </w:rPr>
        <w:t xml:space="preserve"> la finance véhiculée par les marchés financiers internationaux, et de fait formelle.</w:t>
      </w:r>
    </w:p>
    <w:p w:rsidR="00577708" w:rsidRPr="00577708" w:rsidRDefault="00577708" w:rsidP="00577708">
      <w:pPr>
        <w:spacing w:after="0"/>
        <w:ind w:firstLine="0"/>
        <w:rPr>
          <w:rFonts w:cs="Times New Roman"/>
          <w:szCs w:val="24"/>
        </w:rPr>
      </w:pPr>
    </w:p>
    <w:p w:rsidR="00577708" w:rsidRPr="00577708" w:rsidRDefault="00577708" w:rsidP="007B2185">
      <w:pPr>
        <w:numPr>
          <w:ilvl w:val="1"/>
          <w:numId w:val="6"/>
        </w:numPr>
        <w:tabs>
          <w:tab w:val="left" w:pos="567"/>
        </w:tabs>
        <w:ind w:left="0" w:firstLine="0"/>
        <w:rPr>
          <w:rFonts w:cs="Times New Roman"/>
          <w:b/>
          <w:i/>
          <w:szCs w:val="24"/>
        </w:rPr>
      </w:pPr>
      <w:r w:rsidRPr="00577708">
        <w:rPr>
          <w:rFonts w:cs="Times New Roman"/>
          <w:b/>
          <w:i/>
          <w:szCs w:val="24"/>
        </w:rPr>
        <w:t xml:space="preserve">Un historique des IMF marqué </w:t>
      </w:r>
      <w:r w:rsidR="00EB6759">
        <w:rPr>
          <w:rFonts w:cs="Times New Roman"/>
          <w:b/>
          <w:i/>
          <w:szCs w:val="24"/>
        </w:rPr>
        <w:t>par le caractère hybride formel-</w:t>
      </w:r>
      <w:r w:rsidRPr="00577708">
        <w:rPr>
          <w:rFonts w:cs="Times New Roman"/>
          <w:b/>
          <w:i/>
          <w:szCs w:val="24"/>
        </w:rPr>
        <w:t>informel</w:t>
      </w:r>
    </w:p>
    <w:p w:rsidR="0068356A" w:rsidRDefault="00577708" w:rsidP="0068356A">
      <w:pPr>
        <w:spacing w:after="0"/>
        <w:ind w:firstLine="0"/>
        <w:jc w:val="both"/>
        <w:rPr>
          <w:rFonts w:cs="Times New Roman"/>
          <w:szCs w:val="24"/>
        </w:rPr>
      </w:pPr>
      <w:r w:rsidRPr="00577708">
        <w:rPr>
          <w:rFonts w:cs="Times New Roman"/>
          <w:szCs w:val="24"/>
        </w:rPr>
        <w:t>Comme évoqué plus haut, les systèmes financiers des PVD sont mar</w:t>
      </w:r>
      <w:r w:rsidR="00EB6759">
        <w:rPr>
          <w:rFonts w:cs="Times New Roman"/>
          <w:szCs w:val="24"/>
        </w:rPr>
        <w:t>qués par une imbrication formel-</w:t>
      </w:r>
      <w:r w:rsidRPr="00577708">
        <w:rPr>
          <w:rFonts w:cs="Times New Roman"/>
          <w:szCs w:val="24"/>
        </w:rPr>
        <w:t>informel dont les IMF sont la parfaite illustration. L’histoire récente des PVD s’inscrit alors dans ce dualisme, cette hybridation qui ne fait qu’évoluer depuis 50 ans</w:t>
      </w:r>
      <w:r w:rsidR="00541962">
        <w:rPr>
          <w:rFonts w:cs="Times New Roman"/>
          <w:szCs w:val="24"/>
        </w:rPr>
        <w:t xml:space="preserve"> et repose</w:t>
      </w:r>
      <w:r w:rsidR="0068356A">
        <w:rPr>
          <w:rFonts w:cs="Times New Roman"/>
          <w:szCs w:val="24"/>
        </w:rPr>
        <w:t xml:space="preserve"> </w:t>
      </w:r>
      <w:r w:rsidR="00541962" w:rsidRPr="0068356A">
        <w:rPr>
          <w:rFonts w:cs="Times New Roman"/>
          <w:szCs w:val="24"/>
        </w:rPr>
        <w:t>sur au moins deux éléments</w:t>
      </w:r>
      <w:r w:rsidR="0068356A">
        <w:rPr>
          <w:rFonts w:cs="Times New Roman"/>
          <w:szCs w:val="24"/>
        </w:rPr>
        <w:t> :</w:t>
      </w:r>
    </w:p>
    <w:p w:rsidR="0068356A" w:rsidRDefault="00541962" w:rsidP="0068356A">
      <w:pPr>
        <w:pStyle w:val="ListParagraph"/>
        <w:numPr>
          <w:ilvl w:val="0"/>
          <w:numId w:val="12"/>
        </w:numPr>
        <w:spacing w:after="0"/>
        <w:jc w:val="both"/>
        <w:rPr>
          <w:rFonts w:cs="Times New Roman"/>
          <w:szCs w:val="24"/>
        </w:rPr>
      </w:pPr>
      <w:r w:rsidRPr="0068356A">
        <w:rPr>
          <w:rFonts w:cs="Times New Roman"/>
          <w:szCs w:val="24"/>
        </w:rPr>
        <w:t xml:space="preserve"> </w:t>
      </w:r>
      <w:r w:rsidRPr="0068356A">
        <w:rPr>
          <w:rFonts w:cs="Times New Roman"/>
          <w:b/>
          <w:szCs w:val="24"/>
        </w:rPr>
        <w:t>l’usage installé</w:t>
      </w:r>
      <w:r w:rsidRPr="0068356A">
        <w:rPr>
          <w:rFonts w:cs="Times New Roman"/>
          <w:szCs w:val="24"/>
        </w:rPr>
        <w:t xml:space="preserve"> de pratiques financières non-formelles</w:t>
      </w:r>
      <w:r w:rsidR="0068356A">
        <w:rPr>
          <w:rFonts w:cs="Times New Roman"/>
          <w:szCs w:val="24"/>
        </w:rPr>
        <w:t>,</w:t>
      </w:r>
    </w:p>
    <w:p w:rsidR="00577708" w:rsidRPr="0068356A" w:rsidRDefault="00541962" w:rsidP="0068356A">
      <w:pPr>
        <w:pStyle w:val="ListParagraph"/>
        <w:numPr>
          <w:ilvl w:val="0"/>
          <w:numId w:val="12"/>
        </w:numPr>
        <w:spacing w:after="0"/>
        <w:jc w:val="both"/>
        <w:rPr>
          <w:rFonts w:cs="Times New Roman"/>
          <w:szCs w:val="24"/>
        </w:rPr>
      </w:pPr>
      <w:r w:rsidRPr="0068356A">
        <w:rPr>
          <w:rFonts w:cs="Times New Roman"/>
          <w:szCs w:val="24"/>
        </w:rPr>
        <w:t xml:space="preserve"> et le recours à des </w:t>
      </w:r>
      <w:r w:rsidRPr="0068356A">
        <w:rPr>
          <w:rFonts w:cs="Times New Roman"/>
          <w:b/>
          <w:szCs w:val="24"/>
        </w:rPr>
        <w:t>institutions non financières</w:t>
      </w:r>
      <w:r w:rsidRPr="0068356A">
        <w:rPr>
          <w:rFonts w:cs="Times New Roman"/>
          <w:szCs w:val="24"/>
        </w:rPr>
        <w:t xml:space="preserve"> comme des Organisations Non Gouvernementales (ONG) ou des Agents Non Financiers (ANF)</w:t>
      </w:r>
      <w:r w:rsidR="00577708" w:rsidRPr="0068356A">
        <w:rPr>
          <w:rFonts w:cs="Times New Roman"/>
          <w:szCs w:val="24"/>
        </w:rPr>
        <w:t>.</w:t>
      </w:r>
    </w:p>
    <w:p w:rsidR="00577708" w:rsidRPr="00577708" w:rsidRDefault="00577708" w:rsidP="00577708">
      <w:pPr>
        <w:jc w:val="both"/>
        <w:rPr>
          <w:rFonts w:cs="Times New Roman"/>
          <w:szCs w:val="24"/>
        </w:rPr>
      </w:pPr>
      <w:r w:rsidRPr="00577708">
        <w:rPr>
          <w:rFonts w:cs="Times New Roman"/>
          <w:szCs w:val="24"/>
        </w:rPr>
        <w:t>Si les IMF connaissent leur véritable essor dans les années 80, elles répondent à des problématiques propres à l’époque marquée par un basculement des politiques de développement qui entérine les défaillances d’une action à l’échelle macro-économique et en conséquence opte pour une action à des niveaux microéconomiques puisque tournée vers les entreprises. Mais plus encore, ces actions microéconomiques se révèlent centrées non seulement sur les individus et des petites entreprises mais aussi sur des microprojets. Les IMF deviennent la pierre angulaire d’un système économique dont l’échelle s’est considérablement réduite – on pourrait parler de micro-micro-économie Ces actions à l’échelle des micro-projets, des individus, des secteurs d’activités informels nécessitent des financements : les IMF vont en être un acteur clef.</w:t>
      </w:r>
    </w:p>
    <w:p w:rsidR="00577708" w:rsidRPr="00577708" w:rsidRDefault="00541962" w:rsidP="00577708">
      <w:pPr>
        <w:jc w:val="both"/>
        <w:rPr>
          <w:rFonts w:cs="Times New Roman"/>
          <w:szCs w:val="24"/>
        </w:rPr>
      </w:pPr>
      <w:r>
        <w:rPr>
          <w:rFonts w:cs="Times New Roman"/>
          <w:szCs w:val="24"/>
        </w:rPr>
        <w:t>Ainsi, l</w:t>
      </w:r>
      <w:r w:rsidR="00577708" w:rsidRPr="00577708">
        <w:rPr>
          <w:rFonts w:cs="Times New Roman"/>
          <w:szCs w:val="24"/>
        </w:rPr>
        <w:t>es premières politiques de développement des années 1950 à 1970 sont avant tout de grandes ampleurs –</w:t>
      </w:r>
      <w:r w:rsidR="00744F93">
        <w:rPr>
          <w:rFonts w:cs="Times New Roman"/>
          <w:szCs w:val="24"/>
        </w:rPr>
        <w:t xml:space="preserve"> la plus emblématique étant le Big P</w:t>
      </w:r>
      <w:r w:rsidR="00577708" w:rsidRPr="00577708">
        <w:rPr>
          <w:rFonts w:cs="Times New Roman"/>
          <w:szCs w:val="24"/>
        </w:rPr>
        <w:t>ush qui devait mobiliser toute l’économie. Les grands projets sont à l’ordre du jour. Alors que souvent ce secteur financier est un transfuge ou une réplique des institutions occidentales, il existe un secteur informel, plus ancien et endémique, qui permet de satisfaire les besoins d’une p</w:t>
      </w:r>
      <w:r w:rsidR="00FD0534">
        <w:rPr>
          <w:rFonts w:cs="Times New Roman"/>
          <w:szCs w:val="24"/>
        </w:rPr>
        <w:t>opulation considérée</w:t>
      </w:r>
      <w:r w:rsidR="00577708" w:rsidRPr="00577708">
        <w:rPr>
          <w:rFonts w:cs="Times New Roman"/>
          <w:szCs w:val="24"/>
        </w:rPr>
        <w:t xml:space="preserve"> comme non bancarisable et de fait ne pouvant solliciter le secteur formel et d’ailleurs que ce dernier secteur en général ne souhaite pas lui-même avoir pour clientèle. </w:t>
      </w:r>
      <w:r>
        <w:rPr>
          <w:rFonts w:cs="Times New Roman"/>
          <w:szCs w:val="24"/>
        </w:rPr>
        <w:t xml:space="preserve">Or, </w:t>
      </w:r>
      <w:r w:rsidR="00577708" w:rsidRPr="00541962">
        <w:rPr>
          <w:rFonts w:cs="Times New Roman"/>
          <w:b/>
          <w:szCs w:val="24"/>
        </w:rPr>
        <w:t xml:space="preserve">une finance informelle </w:t>
      </w:r>
      <w:r w:rsidRPr="00541962">
        <w:rPr>
          <w:rFonts w:cs="Times New Roman"/>
          <w:b/>
          <w:szCs w:val="24"/>
        </w:rPr>
        <w:t>existe depuis longtemps</w:t>
      </w:r>
      <w:r w:rsidR="00577708" w:rsidRPr="00577708">
        <w:rPr>
          <w:rFonts w:cs="Times New Roman"/>
          <w:szCs w:val="24"/>
        </w:rPr>
        <w:t xml:space="preserve"> : des organisations </w:t>
      </w:r>
      <w:r w:rsidR="00577708" w:rsidRPr="00744F93">
        <w:rPr>
          <w:rFonts w:cs="Times New Roman"/>
          <w:i/>
          <w:szCs w:val="24"/>
        </w:rPr>
        <w:t>ex-nihilo</w:t>
      </w:r>
      <w:r w:rsidR="00577708" w:rsidRPr="00577708">
        <w:rPr>
          <w:rFonts w:cs="Times New Roman"/>
          <w:szCs w:val="24"/>
        </w:rPr>
        <w:t xml:space="preserve"> attachées à des communautés proposent des systèmes de crédit et d’épargne que l’on qualifie  d’informelles</w:t>
      </w:r>
      <w:r>
        <w:rPr>
          <w:rFonts w:cs="Times New Roman"/>
          <w:szCs w:val="24"/>
        </w:rPr>
        <w:t>. C</w:t>
      </w:r>
      <w:r w:rsidR="00577708" w:rsidRPr="00577708">
        <w:rPr>
          <w:rFonts w:cs="Times New Roman"/>
          <w:szCs w:val="24"/>
        </w:rPr>
        <w:t>e ne sont pas des institutions en tant que telle</w:t>
      </w:r>
      <w:r>
        <w:rPr>
          <w:rFonts w:cs="Times New Roman"/>
          <w:szCs w:val="24"/>
        </w:rPr>
        <w:t>s</w:t>
      </w:r>
      <w:r w:rsidR="00577708" w:rsidRPr="00577708">
        <w:rPr>
          <w:rFonts w:cs="Times New Roman"/>
          <w:szCs w:val="24"/>
        </w:rPr>
        <w:t xml:space="preserve"> et même s’il existe des règles de fonctionnement et des modes d’organisations, la contractualisation n’est pas essentielle au fonctionnement, bien au contraire c’est avant tout la non formalisation qui en est un principe clef.</w:t>
      </w:r>
      <w:r w:rsidR="0068356A">
        <w:rPr>
          <w:rFonts w:cs="Times New Roman"/>
          <w:szCs w:val="24"/>
        </w:rPr>
        <w:t xml:space="preserve"> Le caractère informel</w:t>
      </w:r>
      <w:r w:rsidR="0068356A" w:rsidRPr="0068356A">
        <w:rPr>
          <w:rFonts w:cs="Times New Roman"/>
          <w:szCs w:val="24"/>
        </w:rPr>
        <w:t xml:space="preserve"> de</w:t>
      </w:r>
      <w:r w:rsidR="00FD0534">
        <w:rPr>
          <w:rFonts w:cs="Times New Roman"/>
          <w:szCs w:val="24"/>
        </w:rPr>
        <w:t xml:space="preserve"> la finance est fortement ancré</w:t>
      </w:r>
      <w:r w:rsidR="0068356A">
        <w:rPr>
          <w:rFonts w:cs="Times New Roman"/>
          <w:szCs w:val="24"/>
        </w:rPr>
        <w:t xml:space="preserve"> dans les modes opératoires.</w:t>
      </w:r>
    </w:p>
    <w:p w:rsidR="00577708" w:rsidRPr="00577708" w:rsidRDefault="00577708" w:rsidP="00577708">
      <w:pPr>
        <w:jc w:val="both"/>
        <w:rPr>
          <w:rFonts w:cs="Times New Roman"/>
          <w:szCs w:val="24"/>
        </w:rPr>
      </w:pPr>
      <w:r w:rsidRPr="00577708">
        <w:rPr>
          <w:rFonts w:cs="Times New Roman"/>
          <w:szCs w:val="24"/>
        </w:rPr>
        <w:t>L’absence d’un réel essor du développement dans ces pays avec pour corolaire une pauvreté persistante pour une frange notable de la population invitent les organisations internationales et les gouvernants à réorienter les politiques de développement. Un axe fort les car</w:t>
      </w:r>
      <w:r w:rsidR="0068356A">
        <w:rPr>
          <w:rFonts w:cs="Times New Roman"/>
          <w:szCs w:val="24"/>
        </w:rPr>
        <w:t>actérise,</w:t>
      </w:r>
      <w:r w:rsidRPr="00577708">
        <w:rPr>
          <w:rFonts w:cs="Times New Roman"/>
          <w:szCs w:val="24"/>
        </w:rPr>
        <w:t xml:space="preserve"> opter pour des </w:t>
      </w:r>
      <w:r w:rsidR="0068356A">
        <w:rPr>
          <w:rFonts w:cs="Times New Roman"/>
          <w:szCs w:val="24"/>
        </w:rPr>
        <w:t>actions axées sur les individus e</w:t>
      </w:r>
      <w:r w:rsidRPr="00577708">
        <w:rPr>
          <w:rFonts w:cs="Times New Roman"/>
          <w:szCs w:val="24"/>
        </w:rPr>
        <w:t xml:space="preserve">t habiliter le secteur informel </w:t>
      </w:r>
      <w:r w:rsidR="0068356A">
        <w:rPr>
          <w:rFonts w:cs="Times New Roman"/>
          <w:szCs w:val="24"/>
        </w:rPr>
        <w:t>en tant que</w:t>
      </w:r>
      <w:r w:rsidRPr="00577708">
        <w:rPr>
          <w:rFonts w:cs="Times New Roman"/>
          <w:szCs w:val="24"/>
        </w:rPr>
        <w:t xml:space="preserve"> secteur crucial de dévelop</w:t>
      </w:r>
      <w:r w:rsidR="0068356A">
        <w:rPr>
          <w:rFonts w:cs="Times New Roman"/>
          <w:szCs w:val="24"/>
        </w:rPr>
        <w:t>pement. Cette orientation s’explique aussi par</w:t>
      </w:r>
      <w:r w:rsidRPr="00577708">
        <w:rPr>
          <w:rFonts w:cs="Times New Roman"/>
          <w:szCs w:val="24"/>
        </w:rPr>
        <w:t xml:space="preserve"> l’endettement des PVD des années 1980 et les échecs plus ou moins reconnus des politiques d’ajustement structurels. Les budgets des PVD étant revisités à la baisse, les politiques menées par les États sont limitées. Dès lors, un ensemble de conditions se met en place favorisant des actions plus ciblées –</w:t>
      </w:r>
      <w:r w:rsidR="00744F93">
        <w:rPr>
          <w:rFonts w:cs="Times New Roman"/>
          <w:szCs w:val="24"/>
        </w:rPr>
        <w:t xml:space="preserve"> </w:t>
      </w:r>
      <w:r w:rsidRPr="00577708">
        <w:rPr>
          <w:rFonts w:cs="Times New Roman"/>
          <w:szCs w:val="24"/>
        </w:rPr>
        <w:t>notamment vers les plus pauvres</w:t>
      </w:r>
      <w:r w:rsidRPr="00577708">
        <w:rPr>
          <w:rFonts w:cs="Times New Roman"/>
          <w:szCs w:val="24"/>
          <w:vertAlign w:val="superscript"/>
        </w:rPr>
        <w:footnoteReference w:id="4"/>
      </w:r>
      <w:r w:rsidR="00744F93">
        <w:rPr>
          <w:rFonts w:cs="Times New Roman"/>
          <w:szCs w:val="24"/>
        </w:rPr>
        <w:t xml:space="preserve"> –</w:t>
      </w:r>
      <w:r w:rsidRPr="00577708">
        <w:rPr>
          <w:rFonts w:cs="Times New Roman"/>
          <w:szCs w:val="24"/>
        </w:rPr>
        <w:t xml:space="preserve"> et financées par des aides internationales émanant d’ONG (souvent liées du reste aux grandes organisations internationales). C’est dans ce contexte que se développent les IMF : elles sont bien formelles puisqu’elles sont des institutions, mais ne relèvent pour autant de la finance formelle p</w:t>
      </w:r>
      <w:r w:rsidR="0068356A">
        <w:rPr>
          <w:rFonts w:cs="Times New Roman"/>
          <w:szCs w:val="24"/>
        </w:rPr>
        <w:t>uisqu’elles sont</w:t>
      </w:r>
      <w:r w:rsidRPr="00577708">
        <w:rPr>
          <w:rFonts w:cs="Times New Roman"/>
          <w:szCs w:val="24"/>
        </w:rPr>
        <w:t xml:space="preserve"> des </w:t>
      </w:r>
      <w:r w:rsidR="0068356A">
        <w:rPr>
          <w:rFonts w:cs="Times New Roman"/>
          <w:szCs w:val="24"/>
        </w:rPr>
        <w:t>ANF</w:t>
      </w:r>
      <w:r w:rsidRPr="00577708">
        <w:rPr>
          <w:rFonts w:cs="Times New Roman"/>
          <w:szCs w:val="24"/>
        </w:rPr>
        <w:t>. Bon nombre sont des ONG, quelques-unes sont des banques ou institutions financières dédiées aux pauvres</w:t>
      </w:r>
      <w:r w:rsidRPr="00577708">
        <w:rPr>
          <w:rFonts w:cs="Times New Roman"/>
          <w:szCs w:val="24"/>
          <w:vertAlign w:val="superscript"/>
        </w:rPr>
        <w:footnoteReference w:id="5"/>
      </w:r>
      <w:r w:rsidRPr="00577708">
        <w:rPr>
          <w:rFonts w:cs="Times New Roman"/>
          <w:szCs w:val="24"/>
        </w:rPr>
        <w:t>.</w:t>
      </w:r>
    </w:p>
    <w:p w:rsidR="0068356A" w:rsidRDefault="0068356A" w:rsidP="00577708">
      <w:pPr>
        <w:jc w:val="both"/>
        <w:rPr>
          <w:rFonts w:cs="Times New Roman"/>
          <w:szCs w:val="24"/>
        </w:rPr>
      </w:pPr>
      <w:r>
        <w:rPr>
          <w:rFonts w:cs="Times New Roman"/>
          <w:szCs w:val="24"/>
        </w:rPr>
        <w:t>Aussi, les pratiques qui en découlent ont</w:t>
      </w:r>
      <w:r w:rsidR="00577708" w:rsidRPr="00577708">
        <w:rPr>
          <w:rFonts w:cs="Times New Roman"/>
          <w:szCs w:val="24"/>
        </w:rPr>
        <w:t xml:space="preserve"> un caractère hybride</w:t>
      </w:r>
      <w:r>
        <w:rPr>
          <w:rFonts w:cs="Times New Roman"/>
          <w:szCs w:val="24"/>
        </w:rPr>
        <w:t> :</w:t>
      </w:r>
    </w:p>
    <w:p w:rsidR="0068356A" w:rsidRDefault="0068356A" w:rsidP="0068356A">
      <w:pPr>
        <w:pStyle w:val="ListParagraph"/>
        <w:numPr>
          <w:ilvl w:val="0"/>
          <w:numId w:val="10"/>
        </w:numPr>
        <w:jc w:val="both"/>
        <w:rPr>
          <w:rFonts w:cs="Times New Roman"/>
          <w:szCs w:val="24"/>
        </w:rPr>
      </w:pPr>
      <w:r w:rsidRPr="0068356A">
        <w:rPr>
          <w:rFonts w:cs="Times New Roman"/>
          <w:szCs w:val="24"/>
        </w:rPr>
        <w:t xml:space="preserve"> D’une part</w:t>
      </w:r>
      <w:r w:rsidR="00577708" w:rsidRPr="0068356A">
        <w:rPr>
          <w:rFonts w:cs="Times New Roman"/>
          <w:szCs w:val="24"/>
        </w:rPr>
        <w:t xml:space="preserve">, elles introduisent des </w:t>
      </w:r>
      <w:r w:rsidR="00577708" w:rsidRPr="0068356A">
        <w:rPr>
          <w:rFonts w:cs="Times New Roman"/>
          <w:b/>
          <w:szCs w:val="24"/>
        </w:rPr>
        <w:t>éléments de contrats</w:t>
      </w:r>
      <w:r>
        <w:rPr>
          <w:rFonts w:cs="Times New Roman"/>
          <w:szCs w:val="24"/>
        </w:rPr>
        <w:t>,</w:t>
      </w:r>
    </w:p>
    <w:p w:rsidR="0068356A" w:rsidRDefault="00577708" w:rsidP="0068356A">
      <w:pPr>
        <w:pStyle w:val="ListParagraph"/>
        <w:numPr>
          <w:ilvl w:val="0"/>
          <w:numId w:val="10"/>
        </w:numPr>
        <w:jc w:val="both"/>
        <w:rPr>
          <w:rFonts w:cs="Times New Roman"/>
          <w:szCs w:val="24"/>
        </w:rPr>
      </w:pPr>
      <w:r w:rsidRPr="0068356A">
        <w:rPr>
          <w:rFonts w:cs="Times New Roman"/>
          <w:szCs w:val="24"/>
        </w:rPr>
        <w:t xml:space="preserve"> et </w:t>
      </w:r>
      <w:r w:rsidR="0068356A" w:rsidRPr="0068356A">
        <w:rPr>
          <w:rFonts w:cs="Times New Roman"/>
          <w:szCs w:val="24"/>
        </w:rPr>
        <w:t>d’autre part,</w:t>
      </w:r>
      <w:r w:rsidRPr="0068356A">
        <w:rPr>
          <w:rFonts w:cs="Times New Roman"/>
          <w:szCs w:val="24"/>
        </w:rPr>
        <w:t xml:space="preserve"> maintiennent des principes </w:t>
      </w:r>
      <w:r w:rsidR="00EF48FD">
        <w:rPr>
          <w:rFonts w:cs="Times New Roman"/>
          <w:b/>
          <w:szCs w:val="24"/>
        </w:rPr>
        <w:t>de relations financeur-financé</w:t>
      </w:r>
      <w:r w:rsidRPr="0068356A">
        <w:rPr>
          <w:rFonts w:cs="Times New Roman"/>
          <w:szCs w:val="24"/>
        </w:rPr>
        <w:t xml:space="preserve"> proches de c</w:t>
      </w:r>
      <w:r w:rsidR="0068356A">
        <w:rPr>
          <w:rFonts w:cs="Times New Roman"/>
          <w:szCs w:val="24"/>
        </w:rPr>
        <w:t>elles de la finance informelle.</w:t>
      </w:r>
    </w:p>
    <w:p w:rsidR="0068356A" w:rsidRDefault="0068356A" w:rsidP="0068356A">
      <w:pPr>
        <w:jc w:val="both"/>
        <w:rPr>
          <w:rFonts w:cs="Times New Roman"/>
          <w:szCs w:val="24"/>
        </w:rPr>
      </w:pPr>
      <w:r>
        <w:rPr>
          <w:rFonts w:cs="Times New Roman"/>
          <w:szCs w:val="24"/>
        </w:rPr>
        <w:t xml:space="preserve">En termes de contrats, ils s’établissent </w:t>
      </w:r>
      <w:r w:rsidR="00577708" w:rsidRPr="0068356A">
        <w:rPr>
          <w:rFonts w:cs="Times New Roman"/>
          <w:szCs w:val="24"/>
        </w:rPr>
        <w:t>–</w:t>
      </w:r>
      <w:r w:rsidR="00C7129A" w:rsidRPr="0068356A">
        <w:rPr>
          <w:rFonts w:cs="Times New Roman"/>
          <w:szCs w:val="24"/>
        </w:rPr>
        <w:t xml:space="preserve"> souvent simple</w:t>
      </w:r>
      <w:r>
        <w:rPr>
          <w:rFonts w:cs="Times New Roman"/>
          <w:szCs w:val="24"/>
        </w:rPr>
        <w:t>ment</w:t>
      </w:r>
      <w:r w:rsidR="00C7129A" w:rsidRPr="0068356A">
        <w:rPr>
          <w:rFonts w:cs="Times New Roman"/>
          <w:szCs w:val="24"/>
        </w:rPr>
        <w:t xml:space="preserve"> –</w:t>
      </w:r>
      <w:r>
        <w:rPr>
          <w:rFonts w:cs="Times New Roman"/>
          <w:szCs w:val="24"/>
        </w:rPr>
        <w:t xml:space="preserve"> soit relativement à</w:t>
      </w:r>
      <w:r w:rsidR="00577708" w:rsidRPr="0068356A">
        <w:rPr>
          <w:rFonts w:cs="Times New Roman"/>
          <w:szCs w:val="24"/>
        </w:rPr>
        <w:t xml:space="preserve"> l’octroi du produit </w:t>
      </w:r>
      <w:r>
        <w:rPr>
          <w:rFonts w:cs="Times New Roman"/>
          <w:szCs w:val="24"/>
        </w:rPr>
        <w:t>financier lui-même, soit aux</w:t>
      </w:r>
      <w:r w:rsidR="00577708" w:rsidRPr="0068356A">
        <w:rPr>
          <w:rFonts w:cs="Times New Roman"/>
          <w:szCs w:val="24"/>
        </w:rPr>
        <w:t xml:space="preserve"> chartes de foncti</w:t>
      </w:r>
      <w:r>
        <w:rPr>
          <w:rFonts w:cs="Times New Roman"/>
          <w:szCs w:val="24"/>
        </w:rPr>
        <w:t>onnement d’épargne ou</w:t>
      </w:r>
      <w:r w:rsidR="00577708" w:rsidRPr="0068356A">
        <w:rPr>
          <w:rFonts w:cs="Times New Roman"/>
          <w:szCs w:val="24"/>
        </w:rPr>
        <w:t xml:space="preserve"> de cautionnement entre les membres d’une communauté. En cela, les IMF introduisent de la formalité et/ou du formalisme. </w:t>
      </w:r>
    </w:p>
    <w:p w:rsidR="00577708" w:rsidRPr="0068356A" w:rsidRDefault="0068356A" w:rsidP="00E27081">
      <w:pPr>
        <w:jc w:val="both"/>
        <w:rPr>
          <w:rFonts w:cs="Times New Roman"/>
          <w:szCs w:val="24"/>
        </w:rPr>
      </w:pPr>
      <w:r>
        <w:rPr>
          <w:rFonts w:cs="Times New Roman"/>
          <w:szCs w:val="24"/>
        </w:rPr>
        <w:t xml:space="preserve">En termes de pratiques de la relation financière, </w:t>
      </w:r>
      <w:r w:rsidR="00E27081">
        <w:rPr>
          <w:rFonts w:cs="Times New Roman"/>
          <w:szCs w:val="24"/>
        </w:rPr>
        <w:t>elles s’appuient sur le fonctionnement de la finance informelle. Notons que les pratiques les plus</w:t>
      </w:r>
      <w:r w:rsidR="00577708" w:rsidRPr="0068356A">
        <w:rPr>
          <w:rFonts w:cs="Times New Roman"/>
          <w:szCs w:val="24"/>
        </w:rPr>
        <w:t xml:space="preserve"> médiatisées sont celles qui s’inspirent de la finance informelle, </w:t>
      </w:r>
      <w:r w:rsidR="00E27081">
        <w:rPr>
          <w:rFonts w:cs="Times New Roman"/>
          <w:szCs w:val="24"/>
        </w:rPr>
        <w:t>comme par exemple</w:t>
      </w:r>
      <w:r w:rsidR="00577708" w:rsidRPr="0068356A">
        <w:rPr>
          <w:rFonts w:cs="Times New Roman"/>
          <w:szCs w:val="24"/>
        </w:rPr>
        <w:t xml:space="preserve"> les tontines</w:t>
      </w:r>
      <w:r w:rsidR="00E27081">
        <w:rPr>
          <w:rStyle w:val="FootnoteReference"/>
          <w:rFonts w:cs="Times New Roman"/>
          <w:szCs w:val="24"/>
        </w:rPr>
        <w:footnoteReference w:id="6"/>
      </w:r>
      <w:r w:rsidR="00E27081">
        <w:rPr>
          <w:rFonts w:cs="Times New Roman"/>
          <w:szCs w:val="24"/>
        </w:rPr>
        <w:t xml:space="preserve">. </w:t>
      </w:r>
      <w:r w:rsidR="00577708" w:rsidRPr="0068356A">
        <w:rPr>
          <w:rFonts w:cs="Times New Roman"/>
          <w:szCs w:val="24"/>
        </w:rPr>
        <w:t xml:space="preserve">Les pratiques du système financier informel sont très ancrées dans un territoire, dans une communauté et dans son mode de vie rompent avec le principe du guichet bancaire, des heures d’ouverture administratives et des formalités qui lui sont généralement associées. Ainsi, les IMF ont </w:t>
      </w:r>
      <w:r w:rsidR="00577708" w:rsidRPr="00E27081">
        <w:rPr>
          <w:rFonts w:cs="Times New Roman"/>
          <w:b/>
          <w:szCs w:val="24"/>
        </w:rPr>
        <w:t>maintenu ce principe</w:t>
      </w:r>
      <w:r w:rsidR="00577708" w:rsidRPr="0068356A">
        <w:rPr>
          <w:rFonts w:cs="Times New Roman"/>
          <w:szCs w:val="24"/>
        </w:rPr>
        <w:t xml:space="preserve"> d’un banquier ambulant, allant vers ses clients, les visitant régulièrement individuellement et collectivement et à ce titre récoltant de nombreuses informations, favorisant les échanges et très souvent </w:t>
      </w:r>
      <w:r w:rsidR="00577708" w:rsidRPr="00E27081">
        <w:rPr>
          <w:rFonts w:cs="Times New Roman"/>
          <w:b/>
          <w:szCs w:val="24"/>
        </w:rPr>
        <w:t>des conseils</w:t>
      </w:r>
      <w:r w:rsidR="00577708" w:rsidRPr="0068356A">
        <w:rPr>
          <w:rFonts w:cs="Times New Roman"/>
          <w:szCs w:val="24"/>
        </w:rPr>
        <w:t xml:space="preserve">. Le maintien par les IMF de </w:t>
      </w:r>
      <w:r w:rsidR="00577708" w:rsidRPr="00E27081">
        <w:rPr>
          <w:rFonts w:cs="Times New Roman"/>
          <w:b/>
          <w:szCs w:val="24"/>
        </w:rPr>
        <w:t>ce type de relations personnelles fortes</w:t>
      </w:r>
      <w:r w:rsidR="00577708" w:rsidRPr="0068356A">
        <w:rPr>
          <w:rFonts w:cs="Times New Roman"/>
          <w:szCs w:val="24"/>
        </w:rPr>
        <w:t xml:space="preserve"> est considéré comme un facteur clef de leur succès dans la poursuite du but qu’elles se sont assignées ou qu’on leur a assigné : fournir des services financiers aux populations les plus déshéritées et considérées comme non bancarisables. Reprendre certaines des caractéristiques que les communautés ont-elles-même mises en place pour satisfaire leurs besoins financiers semble avoir toute sa pertinence pour les IMF. </w:t>
      </w:r>
    </w:p>
    <w:p w:rsidR="00E27081" w:rsidRDefault="00577708" w:rsidP="00577708">
      <w:pPr>
        <w:jc w:val="both"/>
        <w:rPr>
          <w:rFonts w:cs="Times New Roman"/>
          <w:szCs w:val="24"/>
        </w:rPr>
      </w:pPr>
      <w:r w:rsidRPr="00577708">
        <w:rPr>
          <w:rFonts w:cs="Times New Roman"/>
          <w:szCs w:val="24"/>
        </w:rPr>
        <w:t xml:space="preserve">Historiquement, </w:t>
      </w:r>
      <w:r w:rsidRPr="00744F93">
        <w:rPr>
          <w:rFonts w:cs="Times New Roman"/>
          <w:b/>
          <w:szCs w:val="24"/>
        </w:rPr>
        <w:t>le développement des IMF semble jeter un pont entre la finance formelle et informelle</w:t>
      </w:r>
      <w:r w:rsidRPr="00577708">
        <w:rPr>
          <w:rFonts w:cs="Times New Roman"/>
          <w:szCs w:val="24"/>
        </w:rPr>
        <w:t>. Elles proposent un mode de fonctionnement hybride où à la fois des éléments contractuels semble-t-il des plus basiques soient utilisés : ils concernent avant tout une reconnaissance formalisée concernant la transaction sur le produit financier et des engagements qui s’ensuivent.</w:t>
      </w:r>
    </w:p>
    <w:p w:rsidR="00577708" w:rsidRPr="00577708" w:rsidRDefault="00577708" w:rsidP="00577708">
      <w:pPr>
        <w:jc w:val="both"/>
        <w:rPr>
          <w:rFonts w:cs="Times New Roman"/>
          <w:szCs w:val="24"/>
        </w:rPr>
      </w:pPr>
      <w:r w:rsidRPr="00744F93">
        <w:rPr>
          <w:rFonts w:cs="Times New Roman"/>
          <w:b/>
          <w:szCs w:val="24"/>
        </w:rPr>
        <w:t xml:space="preserve">Là où la mise en œuvre de pratiques inspirées de l’informel apparait la plus importante est au </w:t>
      </w:r>
      <w:r w:rsidR="00C7129A" w:rsidRPr="00744F93">
        <w:rPr>
          <w:rFonts w:cs="Times New Roman"/>
          <w:b/>
          <w:szCs w:val="24"/>
        </w:rPr>
        <w:t>niveau de la relation financeur-</w:t>
      </w:r>
      <w:r w:rsidRPr="00744F93">
        <w:rPr>
          <w:rFonts w:cs="Times New Roman"/>
          <w:b/>
          <w:szCs w:val="24"/>
        </w:rPr>
        <w:t>financé avec deux éléments notables</w:t>
      </w:r>
      <w:r w:rsidR="00E27081">
        <w:rPr>
          <w:rFonts w:cs="Times New Roman"/>
          <w:b/>
          <w:szCs w:val="24"/>
        </w:rPr>
        <w:t>,</w:t>
      </w:r>
      <w:r w:rsidRPr="00577708">
        <w:rPr>
          <w:rFonts w:cs="Times New Roman"/>
          <w:szCs w:val="24"/>
        </w:rPr>
        <w:t xml:space="preserve"> la place des relations </w:t>
      </w:r>
      <w:r w:rsidRPr="00E27081">
        <w:rPr>
          <w:rFonts w:cs="Times New Roman"/>
          <w:b/>
          <w:szCs w:val="24"/>
        </w:rPr>
        <w:t>interpersonnelles</w:t>
      </w:r>
      <w:r w:rsidRPr="00577708">
        <w:rPr>
          <w:rFonts w:cs="Times New Roman"/>
          <w:szCs w:val="24"/>
        </w:rPr>
        <w:t xml:space="preserve">, et la prise en compte du </w:t>
      </w:r>
      <w:r w:rsidRPr="00E27081">
        <w:rPr>
          <w:rFonts w:cs="Times New Roman"/>
          <w:b/>
          <w:szCs w:val="24"/>
        </w:rPr>
        <w:t>collectif</w:t>
      </w:r>
      <w:r w:rsidRPr="00577708">
        <w:rPr>
          <w:rFonts w:cs="Times New Roman"/>
          <w:szCs w:val="24"/>
        </w:rPr>
        <w:t xml:space="preserve"> dans l’approche et la conception de l’individu financé. Ce caractère hybride formel-informel ajouté </w:t>
      </w:r>
      <w:r w:rsidR="00EB6759">
        <w:rPr>
          <w:rFonts w:cs="Times New Roman"/>
          <w:szCs w:val="24"/>
        </w:rPr>
        <w:t>à l’intérêt reconnu de la micro</w:t>
      </w:r>
      <w:r w:rsidRPr="00577708">
        <w:rPr>
          <w:rFonts w:cs="Times New Roman"/>
          <w:szCs w:val="24"/>
        </w:rPr>
        <w:t>finance pour les populations exclues du secteur financier formel, comme le fait qu’elle soit considérée comme ne se substituant pas à la finance informelle (Morvant, 2006), mais élargissant le panel des possibles pour certaines populations invitent à poser la question suivante : Est-elle un troisième système financier dont les traits hybrides sont à la fois un atout majeur de son existence, mais également un enjeu crucial du mode de financement des PVD ?</w:t>
      </w:r>
    </w:p>
    <w:p w:rsidR="00577708" w:rsidRPr="00577708" w:rsidRDefault="00577708" w:rsidP="00577708">
      <w:pPr>
        <w:jc w:val="both"/>
        <w:rPr>
          <w:rFonts w:cs="Times New Roman"/>
          <w:szCs w:val="24"/>
        </w:rPr>
      </w:pPr>
    </w:p>
    <w:p w:rsidR="00A97EC7" w:rsidRPr="00A97EC7" w:rsidRDefault="00A97EC7" w:rsidP="007B2185">
      <w:pPr>
        <w:pStyle w:val="ListParagraph"/>
        <w:numPr>
          <w:ilvl w:val="1"/>
          <w:numId w:val="6"/>
        </w:numPr>
        <w:ind w:left="567" w:hanging="567"/>
        <w:rPr>
          <w:rFonts w:cs="Times New Roman"/>
          <w:b/>
          <w:i/>
          <w:szCs w:val="24"/>
        </w:rPr>
      </w:pPr>
      <w:r w:rsidRPr="00A97EC7">
        <w:rPr>
          <w:rFonts w:cs="Times New Roman"/>
          <w:b/>
          <w:i/>
          <w:szCs w:val="24"/>
        </w:rPr>
        <w:t>Les composantes informelles des relations financières des IMF déstabilisées par leur évolution ?</w:t>
      </w:r>
    </w:p>
    <w:p w:rsidR="0065579C" w:rsidRDefault="00E27081" w:rsidP="00E27081">
      <w:pPr>
        <w:ind w:firstLine="0"/>
        <w:jc w:val="both"/>
        <w:rPr>
          <w:rFonts w:cs="Times New Roman"/>
          <w:szCs w:val="24"/>
        </w:rPr>
      </w:pPr>
      <w:r>
        <w:rPr>
          <w:rFonts w:cs="Times New Roman"/>
          <w:szCs w:val="24"/>
        </w:rPr>
        <w:t>Ainsi, les IMF o</w:t>
      </w:r>
      <w:r w:rsidR="0065579C">
        <w:rPr>
          <w:rFonts w:cs="Times New Roman"/>
          <w:szCs w:val="24"/>
        </w:rPr>
        <w:t>nt su jouer</w:t>
      </w:r>
      <w:r>
        <w:rPr>
          <w:rFonts w:cs="Times New Roman"/>
          <w:szCs w:val="24"/>
        </w:rPr>
        <w:t xml:space="preserve"> de la dualité formel-informel des PVD et devenir des acteurs incontournables tant du point de vue des populations </w:t>
      </w:r>
      <w:r w:rsidR="0065579C">
        <w:rPr>
          <w:rFonts w:cs="Times New Roman"/>
          <w:szCs w:val="24"/>
        </w:rPr>
        <w:t xml:space="preserve">à financer </w:t>
      </w:r>
      <w:r>
        <w:rPr>
          <w:rFonts w:cs="Times New Roman"/>
          <w:szCs w:val="24"/>
        </w:rPr>
        <w:t>que des inst</w:t>
      </w:r>
      <w:r w:rsidR="0065579C">
        <w:rPr>
          <w:rFonts w:cs="Times New Roman"/>
          <w:szCs w:val="24"/>
        </w:rPr>
        <w:t>it</w:t>
      </w:r>
      <w:r>
        <w:rPr>
          <w:rFonts w:cs="Times New Roman"/>
          <w:szCs w:val="24"/>
        </w:rPr>
        <w:t>utions politiques grâce à leur capacité d’</w:t>
      </w:r>
      <w:r w:rsidR="0065579C">
        <w:rPr>
          <w:rFonts w:cs="Times New Roman"/>
          <w:szCs w:val="24"/>
        </w:rPr>
        <w:t>adaptation, en l’occurrence d’</w:t>
      </w:r>
      <w:r>
        <w:rPr>
          <w:rFonts w:cs="Times New Roman"/>
          <w:szCs w:val="24"/>
        </w:rPr>
        <w:t>hybridation.</w:t>
      </w:r>
      <w:r w:rsidR="0065579C">
        <w:rPr>
          <w:rFonts w:cs="Times New Roman"/>
          <w:szCs w:val="24"/>
        </w:rPr>
        <w:t xml:space="preserve"> Cette dernière repose donc sur la mixité :</w:t>
      </w:r>
    </w:p>
    <w:p w:rsidR="0065579C" w:rsidRDefault="0065579C" w:rsidP="0065579C">
      <w:pPr>
        <w:pStyle w:val="ListParagraph"/>
        <w:numPr>
          <w:ilvl w:val="0"/>
          <w:numId w:val="10"/>
        </w:numPr>
        <w:jc w:val="both"/>
        <w:rPr>
          <w:rFonts w:cs="Times New Roman"/>
          <w:szCs w:val="24"/>
        </w:rPr>
      </w:pPr>
      <w:r w:rsidRPr="0065579C">
        <w:rPr>
          <w:rFonts w:cs="Times New Roman"/>
          <w:szCs w:val="24"/>
        </w:rPr>
        <w:t>des pra</w:t>
      </w:r>
      <w:r>
        <w:rPr>
          <w:rFonts w:cs="Times New Roman"/>
          <w:szCs w:val="24"/>
        </w:rPr>
        <w:t>tiques qui concernent d’une part les transactions ou</w:t>
      </w:r>
      <w:r w:rsidRPr="0065579C">
        <w:rPr>
          <w:rFonts w:cs="Times New Roman"/>
          <w:szCs w:val="24"/>
        </w:rPr>
        <w:t xml:space="preserve"> les produits</w:t>
      </w:r>
      <w:r>
        <w:rPr>
          <w:rFonts w:cs="Times New Roman"/>
          <w:szCs w:val="24"/>
        </w:rPr>
        <w:t xml:space="preserve"> et d’autre part</w:t>
      </w:r>
      <w:r w:rsidRPr="0065579C">
        <w:rPr>
          <w:rFonts w:cs="Times New Roman"/>
          <w:szCs w:val="24"/>
        </w:rPr>
        <w:t xml:space="preserve"> la relation financière </w:t>
      </w:r>
      <w:r w:rsidRPr="00726BE0">
        <w:rPr>
          <w:rFonts w:cs="Times New Roman"/>
          <w:szCs w:val="24"/>
        </w:rPr>
        <w:t>elle-même</w:t>
      </w:r>
      <w:r w:rsidR="007B2185" w:rsidRPr="00726BE0">
        <w:rPr>
          <w:rFonts w:cs="Times New Roman"/>
          <w:szCs w:val="24"/>
        </w:rPr>
        <w:t>, dans sa dimension sociale</w:t>
      </w:r>
      <w:r w:rsidRPr="00726BE0">
        <w:rPr>
          <w:rFonts w:cs="Times New Roman"/>
          <w:szCs w:val="24"/>
        </w:rPr>
        <w:t>,</w:t>
      </w:r>
    </w:p>
    <w:p w:rsidR="00E27081" w:rsidRPr="0065579C" w:rsidRDefault="0065579C" w:rsidP="0065579C">
      <w:pPr>
        <w:pStyle w:val="ListParagraph"/>
        <w:numPr>
          <w:ilvl w:val="0"/>
          <w:numId w:val="10"/>
        </w:numPr>
        <w:jc w:val="both"/>
        <w:rPr>
          <w:rFonts w:cs="Times New Roman"/>
          <w:szCs w:val="24"/>
        </w:rPr>
      </w:pPr>
      <w:r w:rsidRPr="0065579C">
        <w:rPr>
          <w:rFonts w:cs="Times New Roman"/>
          <w:szCs w:val="24"/>
        </w:rPr>
        <w:t xml:space="preserve"> des institutions faisant office d’IMF</w:t>
      </w:r>
      <w:r>
        <w:rPr>
          <w:rFonts w:cs="Times New Roman"/>
          <w:szCs w:val="24"/>
        </w:rPr>
        <w:t xml:space="preserve"> – ONG le plus souvent</w:t>
      </w:r>
      <w:r w:rsidRPr="0065579C">
        <w:rPr>
          <w:rFonts w:cs="Times New Roman"/>
          <w:szCs w:val="24"/>
        </w:rPr>
        <w:t>.</w:t>
      </w:r>
    </w:p>
    <w:p w:rsidR="0065579C" w:rsidRDefault="0065579C" w:rsidP="0065579C">
      <w:pPr>
        <w:jc w:val="both"/>
        <w:rPr>
          <w:rFonts w:cs="Times New Roman"/>
          <w:szCs w:val="24"/>
        </w:rPr>
      </w:pPr>
      <w:r>
        <w:rPr>
          <w:rFonts w:cs="Times New Roman"/>
          <w:szCs w:val="24"/>
        </w:rPr>
        <w:t>Or, ces éléments connaissent des évolutions importantes</w:t>
      </w:r>
      <w:r w:rsidR="007F4036">
        <w:rPr>
          <w:rFonts w:cs="Times New Roman"/>
          <w:szCs w:val="24"/>
        </w:rPr>
        <w:t xml:space="preserve"> habituellement désignées sous les dénominations de </w:t>
      </w:r>
      <w:r w:rsidR="005D6D1D">
        <w:rPr>
          <w:rFonts w:cs="Times New Roman"/>
          <w:szCs w:val="24"/>
        </w:rPr>
        <w:t xml:space="preserve">maturité (Labie et </w:t>
      </w:r>
      <w:r w:rsidR="005D6D1D" w:rsidRPr="005D6D1D">
        <w:rPr>
          <w:rFonts w:cs="Times New Roman"/>
          <w:i/>
          <w:szCs w:val="24"/>
        </w:rPr>
        <w:t>al.</w:t>
      </w:r>
      <w:r w:rsidR="005D6D1D">
        <w:rPr>
          <w:rFonts w:cs="Times New Roman"/>
          <w:szCs w:val="24"/>
        </w:rPr>
        <w:t>,</w:t>
      </w:r>
      <w:r w:rsidR="007F4036" w:rsidRPr="007F4036">
        <w:rPr>
          <w:rFonts w:cs="Times New Roman"/>
          <w:szCs w:val="24"/>
        </w:rPr>
        <w:t xml:space="preserve"> 2010), de consolidation (Labie, 2004), de commercialisation (CGAP, 2006, Drake et Rhyne, 2002),</w:t>
      </w:r>
      <w:r w:rsidR="007F4036">
        <w:rPr>
          <w:rFonts w:cs="Times New Roman"/>
          <w:szCs w:val="24"/>
        </w:rPr>
        <w:t xml:space="preserve"> de professionnalisation (CGAP). Avec elles, l</w:t>
      </w:r>
      <w:r>
        <w:rPr>
          <w:rFonts w:cs="Times New Roman"/>
          <w:szCs w:val="24"/>
        </w:rPr>
        <w:t xml:space="preserve">es transactions et les produits font l’objet d’une formalisation accrue, tout comme les IMF elles-mêmes, y compris </w:t>
      </w:r>
      <w:r w:rsidR="007F4036">
        <w:rPr>
          <w:rFonts w:cs="Times New Roman"/>
          <w:szCs w:val="24"/>
        </w:rPr>
        <w:t xml:space="preserve">pour </w:t>
      </w:r>
      <w:r>
        <w:rPr>
          <w:rFonts w:cs="Times New Roman"/>
          <w:szCs w:val="24"/>
        </w:rPr>
        <w:t>les ONG. En revanche, la relation financeur-financé semble moins soumise à cette tendance qui s’inscrit toujours aujourd’hui dans des protocoles proches de la microfinance des débuts, c’est-à-dire proches de la finance informelle.</w:t>
      </w:r>
    </w:p>
    <w:p w:rsidR="00577708" w:rsidRPr="00EE005B" w:rsidRDefault="00577708" w:rsidP="00EE005B">
      <w:pPr>
        <w:jc w:val="both"/>
        <w:rPr>
          <w:rFonts w:cs="Times New Roman"/>
          <w:szCs w:val="24"/>
        </w:rPr>
      </w:pPr>
      <w:r w:rsidRPr="00EE005B">
        <w:rPr>
          <w:rFonts w:cs="Times New Roman"/>
          <w:szCs w:val="24"/>
        </w:rPr>
        <w:t xml:space="preserve">S’il ne fait aucun doute que la microfinance introduise du formalisme avec une contractualisation </w:t>
      </w:r>
      <w:r w:rsidRPr="00EE005B">
        <w:rPr>
          <w:rFonts w:cs="Times New Roman"/>
          <w:i/>
          <w:szCs w:val="24"/>
        </w:rPr>
        <w:t>a minima</w:t>
      </w:r>
      <w:r w:rsidRPr="00EE005B">
        <w:rPr>
          <w:rFonts w:cs="Times New Roman"/>
          <w:szCs w:val="24"/>
        </w:rPr>
        <w:t xml:space="preserve"> du montant, de la durée, et d’un échéancier de remboursements, voire parfois des modes de garantie, elle reprend activement des caractéristiques cruciales de la finance informelle : </w:t>
      </w:r>
    </w:p>
    <w:p w:rsidR="00577708" w:rsidRPr="00EE005B" w:rsidRDefault="00577708" w:rsidP="00EE005B">
      <w:pPr>
        <w:tabs>
          <w:tab w:val="left" w:pos="709"/>
        </w:tabs>
        <w:ind w:left="709" w:hanging="142"/>
        <w:jc w:val="both"/>
        <w:rPr>
          <w:rFonts w:cs="Times New Roman"/>
          <w:szCs w:val="24"/>
        </w:rPr>
      </w:pPr>
      <w:r w:rsidRPr="00EE005B">
        <w:rPr>
          <w:rFonts w:cs="Times New Roman"/>
          <w:szCs w:val="24"/>
        </w:rPr>
        <w:t>•</w:t>
      </w:r>
      <w:r w:rsidRPr="00EE005B">
        <w:rPr>
          <w:rFonts w:cs="Times New Roman"/>
          <w:szCs w:val="24"/>
        </w:rPr>
        <w:tab/>
        <w:t>des rencontres régulières entre financeur et financé qui restent souvent encastrées dans les relations et la vie d’une communauté</w:t>
      </w:r>
      <w:r w:rsidR="00C7129A" w:rsidRPr="00EE005B">
        <w:rPr>
          <w:rFonts w:cs="Times New Roman"/>
          <w:szCs w:val="24"/>
        </w:rPr>
        <w:t>,</w:t>
      </w:r>
    </w:p>
    <w:p w:rsidR="00577708" w:rsidRPr="00EE005B" w:rsidRDefault="00577708" w:rsidP="00EE005B">
      <w:pPr>
        <w:tabs>
          <w:tab w:val="left" w:pos="709"/>
        </w:tabs>
        <w:ind w:left="709" w:hanging="142"/>
        <w:jc w:val="both"/>
        <w:rPr>
          <w:rFonts w:cs="Times New Roman"/>
          <w:szCs w:val="24"/>
        </w:rPr>
      </w:pPr>
      <w:r w:rsidRPr="00EE005B">
        <w:rPr>
          <w:rFonts w:cs="Times New Roman"/>
          <w:szCs w:val="24"/>
        </w:rPr>
        <w:t>•</w:t>
      </w:r>
      <w:r w:rsidRPr="00EE005B">
        <w:rPr>
          <w:rFonts w:cs="Times New Roman"/>
          <w:szCs w:val="24"/>
        </w:rPr>
        <w:tab/>
        <w:t>le principe de l’agent financeur qui se déplace vers sa clientèle</w:t>
      </w:r>
      <w:r w:rsidR="00C7129A" w:rsidRPr="00EE005B">
        <w:rPr>
          <w:rFonts w:cs="Times New Roman"/>
          <w:szCs w:val="24"/>
        </w:rPr>
        <w:t>,</w:t>
      </w:r>
    </w:p>
    <w:p w:rsidR="007F4036" w:rsidRPr="00EE005B" w:rsidRDefault="00577708" w:rsidP="007F4036">
      <w:pPr>
        <w:tabs>
          <w:tab w:val="left" w:pos="709"/>
        </w:tabs>
        <w:ind w:left="709" w:hanging="142"/>
        <w:jc w:val="both"/>
        <w:rPr>
          <w:rFonts w:cs="Times New Roman"/>
          <w:szCs w:val="24"/>
        </w:rPr>
      </w:pPr>
      <w:r w:rsidRPr="00EE005B">
        <w:rPr>
          <w:rFonts w:cs="Times New Roman"/>
          <w:szCs w:val="24"/>
        </w:rPr>
        <w:t>•</w:t>
      </w:r>
      <w:r w:rsidRPr="00EE005B">
        <w:rPr>
          <w:rFonts w:cs="Times New Roman"/>
          <w:szCs w:val="24"/>
        </w:rPr>
        <w:tab/>
        <w:t>et qui, sur la base de ces relations, entrevues et de réunions régulières construit à la fois confiance et information.</w:t>
      </w:r>
    </w:p>
    <w:p w:rsidR="00BD366D" w:rsidRPr="00EE005B" w:rsidRDefault="007F4036" w:rsidP="00EE005B">
      <w:pPr>
        <w:jc w:val="both"/>
        <w:rPr>
          <w:rFonts w:cs="Times New Roman"/>
          <w:szCs w:val="24"/>
        </w:rPr>
      </w:pPr>
      <w:r>
        <w:rPr>
          <w:rFonts w:cs="Times New Roman"/>
          <w:szCs w:val="24"/>
        </w:rPr>
        <w:t>Derrière l</w:t>
      </w:r>
      <w:r w:rsidR="00BD366D" w:rsidRPr="00EE005B">
        <w:rPr>
          <w:rFonts w:cs="Times New Roman"/>
          <w:szCs w:val="24"/>
        </w:rPr>
        <w:t>es termes aux connotations positives</w:t>
      </w:r>
      <w:r>
        <w:rPr>
          <w:rFonts w:cs="Times New Roman"/>
          <w:szCs w:val="24"/>
        </w:rPr>
        <w:t xml:space="preserve"> de maturité, </w:t>
      </w:r>
      <w:r w:rsidR="00A73D9D">
        <w:rPr>
          <w:rFonts w:cs="Times New Roman"/>
          <w:szCs w:val="24"/>
        </w:rPr>
        <w:t xml:space="preserve">de </w:t>
      </w:r>
      <w:r>
        <w:rPr>
          <w:rFonts w:cs="Times New Roman"/>
          <w:szCs w:val="24"/>
        </w:rPr>
        <w:t>professionnalisation</w:t>
      </w:r>
      <w:r w:rsidR="00A73D9D">
        <w:rPr>
          <w:rFonts w:cs="Times New Roman"/>
          <w:szCs w:val="24"/>
        </w:rPr>
        <w:t xml:space="preserve"> et de commercialisation,</w:t>
      </w:r>
      <w:r w:rsidR="00BD366D" w:rsidRPr="00EE005B">
        <w:rPr>
          <w:rFonts w:cs="Times New Roman"/>
          <w:szCs w:val="24"/>
        </w:rPr>
        <w:t xml:space="preserve"> se cache un mouvement de banalisation avec comme point d’ancrage les marchés financiers internationaux, et de fait une mutation de cette finance largement informelle vers une formalisation accrue, voire tout simplement vers la finance formelle. En quoi les mouvements habituellement diagnostiqués supposent une banalisation des pratiques des IMF ? Une banalisation qui s’avère potentiellement déstabilisante pour la pérennisation d’une finance qui atteigne ses objectifs de financement des populations exclues des systèmes financiers formels.</w:t>
      </w:r>
    </w:p>
    <w:p w:rsidR="00BD366D" w:rsidRPr="00EE005B" w:rsidRDefault="00BD366D" w:rsidP="00EE005B">
      <w:pPr>
        <w:jc w:val="both"/>
        <w:rPr>
          <w:rFonts w:cs="Times New Roman"/>
          <w:szCs w:val="24"/>
        </w:rPr>
      </w:pPr>
      <w:r w:rsidRPr="00EE005B">
        <w:rPr>
          <w:rFonts w:cs="Times New Roman"/>
          <w:szCs w:val="24"/>
        </w:rPr>
        <w:t>La « commercialisation » renvoie à un nouveau cadre d’activité où les IMF doivent assurer la pérennité de leurs activités indépendamment des subventions et gérer leur fonctionnement selon une approche commerciale, de façon à ce que les services délivrés puissent être assurés sur le long terme (Drake et Rhyne, 2002). Ce contexte s’</w:t>
      </w:r>
      <w:r w:rsidR="00805286">
        <w:rPr>
          <w:rFonts w:cs="Times New Roman"/>
          <w:szCs w:val="24"/>
        </w:rPr>
        <w:t>instaure</w:t>
      </w:r>
      <w:r w:rsidRPr="00EE005B">
        <w:rPr>
          <w:rFonts w:cs="Times New Roman"/>
          <w:szCs w:val="24"/>
        </w:rPr>
        <w:t xml:space="preserve"> sous l’influence de plusieurs tendances :</w:t>
      </w:r>
    </w:p>
    <w:p w:rsidR="00BD366D" w:rsidRPr="00EE005B" w:rsidRDefault="00BD366D" w:rsidP="00EE005B">
      <w:pPr>
        <w:numPr>
          <w:ilvl w:val="0"/>
          <w:numId w:val="7"/>
        </w:numPr>
        <w:jc w:val="both"/>
        <w:rPr>
          <w:rFonts w:cs="Times New Roman"/>
          <w:szCs w:val="24"/>
        </w:rPr>
      </w:pPr>
      <w:r w:rsidRPr="00EE005B">
        <w:rPr>
          <w:rFonts w:cs="Times New Roman"/>
          <w:szCs w:val="24"/>
        </w:rPr>
        <w:t>la nécessité ou la volonté des IMF de s’émancipe</w:t>
      </w:r>
      <w:r w:rsidR="00A73D9D">
        <w:rPr>
          <w:rFonts w:cs="Times New Roman"/>
          <w:szCs w:val="24"/>
        </w:rPr>
        <w:t>r des aides ou/et subventions</w:t>
      </w:r>
      <w:r w:rsidRPr="00EE005B">
        <w:rPr>
          <w:rFonts w:cs="Times New Roman"/>
          <w:szCs w:val="24"/>
        </w:rPr>
        <w:t>,</w:t>
      </w:r>
    </w:p>
    <w:p w:rsidR="00BD366D" w:rsidRPr="00EE005B" w:rsidRDefault="00BD366D" w:rsidP="00EE005B">
      <w:pPr>
        <w:numPr>
          <w:ilvl w:val="0"/>
          <w:numId w:val="7"/>
        </w:numPr>
        <w:jc w:val="both"/>
        <w:rPr>
          <w:rFonts w:cs="Times New Roman"/>
          <w:szCs w:val="24"/>
        </w:rPr>
      </w:pPr>
      <w:r w:rsidRPr="00EE005B">
        <w:rPr>
          <w:rFonts w:cs="Times New Roman"/>
          <w:szCs w:val="24"/>
        </w:rPr>
        <w:t xml:space="preserve">et la nécessité ou leur volonté de pouvoir accéder à de nouveaux financements venant essentiellement des marchés financiers </w:t>
      </w:r>
      <w:r w:rsidRPr="00DD7DA9">
        <w:rPr>
          <w:rFonts w:cs="Times New Roman"/>
          <w:szCs w:val="24"/>
        </w:rPr>
        <w:t>internationaux</w:t>
      </w:r>
      <w:r w:rsidR="00F761B6" w:rsidRPr="00DD7DA9">
        <w:rPr>
          <w:rFonts w:cs="Times New Roman"/>
          <w:szCs w:val="24"/>
        </w:rPr>
        <w:t xml:space="preserve"> </w:t>
      </w:r>
      <w:r w:rsidR="00DD7DA9" w:rsidRPr="00DD7DA9">
        <w:rPr>
          <w:rFonts w:cs="Times New Roman"/>
          <w:szCs w:val="24"/>
        </w:rPr>
        <w:t xml:space="preserve">(Fouillet et </w:t>
      </w:r>
      <w:r w:rsidR="00DD7DA9" w:rsidRPr="00DD7DA9">
        <w:rPr>
          <w:rFonts w:cs="Times New Roman"/>
          <w:i/>
          <w:szCs w:val="24"/>
        </w:rPr>
        <w:t>a</w:t>
      </w:r>
      <w:r w:rsidR="00F761B6" w:rsidRPr="00DD7DA9">
        <w:rPr>
          <w:rFonts w:cs="Times New Roman"/>
          <w:i/>
          <w:szCs w:val="24"/>
        </w:rPr>
        <w:t>l</w:t>
      </w:r>
      <w:r w:rsidR="00F761B6" w:rsidRPr="00DD7DA9">
        <w:rPr>
          <w:rFonts w:cs="Times New Roman"/>
          <w:szCs w:val="24"/>
        </w:rPr>
        <w:t>., 2007)</w:t>
      </w:r>
      <w:r w:rsidRPr="00DD7DA9">
        <w:rPr>
          <w:rFonts w:cs="Times New Roman"/>
          <w:szCs w:val="24"/>
        </w:rPr>
        <w:t xml:space="preserve"> alors d’ailleurs, que ces mêmes marchés fi</w:t>
      </w:r>
      <w:r w:rsidRPr="00EE005B">
        <w:rPr>
          <w:rFonts w:cs="Times New Roman"/>
          <w:szCs w:val="24"/>
        </w:rPr>
        <w:t>nanciers pourvoient de plus en plus de capitaux dont les détenteurs ou gestionnaires souhaitent qu’ils soient investis dans la microfinance.</w:t>
      </w:r>
    </w:p>
    <w:p w:rsidR="00BD366D" w:rsidRPr="00BD366D" w:rsidRDefault="00BD366D" w:rsidP="00EE005B">
      <w:pPr>
        <w:jc w:val="both"/>
        <w:rPr>
          <w:rFonts w:cs="Times New Roman"/>
          <w:szCs w:val="24"/>
        </w:rPr>
      </w:pPr>
      <w:r w:rsidRPr="00BD366D">
        <w:rPr>
          <w:rFonts w:cs="Times New Roman"/>
          <w:szCs w:val="24"/>
        </w:rPr>
        <w:t>Avec cet afflux de capitaux, les types d’institutions se sont a</w:t>
      </w:r>
      <w:r w:rsidRPr="00EE005B">
        <w:rPr>
          <w:rFonts w:cs="Times New Roman"/>
          <w:szCs w:val="24"/>
        </w:rPr>
        <w:t>ussi multiplié</w:t>
      </w:r>
      <w:r w:rsidRPr="00BD366D">
        <w:rPr>
          <w:rFonts w:cs="Times New Roman"/>
          <w:szCs w:val="24"/>
        </w:rPr>
        <w:t>s</w:t>
      </w:r>
      <w:r w:rsidRPr="00EE005B">
        <w:rPr>
          <w:rFonts w:cs="Times New Roman"/>
          <w:szCs w:val="24"/>
        </w:rPr>
        <w:t xml:space="preserve"> </w:t>
      </w:r>
      <w:r w:rsidRPr="00BD366D">
        <w:rPr>
          <w:rFonts w:cs="Times New Roman"/>
          <w:szCs w:val="24"/>
        </w:rPr>
        <w:t>sur ce qu</w:t>
      </w:r>
      <w:r w:rsidR="00A73D9D">
        <w:rPr>
          <w:rFonts w:cs="Times New Roman"/>
          <w:szCs w:val="24"/>
        </w:rPr>
        <w:t xml:space="preserve">i est désigné </w:t>
      </w:r>
      <w:r w:rsidRPr="00BD366D">
        <w:rPr>
          <w:rFonts w:cs="Times New Roman"/>
          <w:szCs w:val="24"/>
        </w:rPr>
        <w:t xml:space="preserve">désormais </w:t>
      </w:r>
      <w:r w:rsidR="00A73D9D">
        <w:rPr>
          <w:rFonts w:cs="Times New Roman"/>
          <w:szCs w:val="24"/>
        </w:rPr>
        <w:t xml:space="preserve">comme </w:t>
      </w:r>
      <w:r w:rsidR="00EE005B" w:rsidRPr="00EE005B">
        <w:rPr>
          <w:rFonts w:cs="Times New Roman"/>
          <w:szCs w:val="24"/>
        </w:rPr>
        <w:t>le marché de la micro</w:t>
      </w:r>
      <w:r w:rsidRPr="00BD366D">
        <w:rPr>
          <w:rFonts w:cs="Times New Roman"/>
          <w:szCs w:val="24"/>
        </w:rPr>
        <w:t>finance</w:t>
      </w:r>
      <w:r w:rsidR="00A73D9D">
        <w:rPr>
          <w:rFonts w:cs="Times New Roman"/>
          <w:szCs w:val="24"/>
        </w:rPr>
        <w:t>. L</w:t>
      </w:r>
      <w:r w:rsidRPr="00BD366D">
        <w:rPr>
          <w:rFonts w:cs="Times New Roman"/>
          <w:szCs w:val="24"/>
        </w:rPr>
        <w:t xml:space="preserve">es banques traditionnelles en sont un exemple. Pour leur part, les IMF font évoluer leurs structures : des institutions </w:t>
      </w:r>
      <w:r w:rsidR="00A73D9D">
        <w:rPr>
          <w:rFonts w:cs="Times New Roman"/>
          <w:szCs w:val="24"/>
        </w:rPr>
        <w:t xml:space="preserve">à but </w:t>
      </w:r>
      <w:r w:rsidRPr="00BD366D">
        <w:rPr>
          <w:rFonts w:cs="Times New Roman"/>
          <w:szCs w:val="24"/>
        </w:rPr>
        <w:t>non lucrati</w:t>
      </w:r>
      <w:r w:rsidR="00A73D9D">
        <w:rPr>
          <w:rFonts w:cs="Times New Roman"/>
          <w:szCs w:val="24"/>
        </w:rPr>
        <w:t>f</w:t>
      </w:r>
      <w:r w:rsidRPr="00BD366D">
        <w:rPr>
          <w:rFonts w:cs="Times New Roman"/>
          <w:szCs w:val="24"/>
        </w:rPr>
        <w:t xml:space="preserve"> se transforment en sociétés </w:t>
      </w:r>
      <w:r w:rsidR="00A73D9D">
        <w:rPr>
          <w:rFonts w:cs="Times New Roman"/>
          <w:szCs w:val="24"/>
        </w:rPr>
        <w:t xml:space="preserve">privées, parfois </w:t>
      </w:r>
      <w:r w:rsidRPr="00BD366D">
        <w:rPr>
          <w:rFonts w:cs="Times New Roman"/>
          <w:szCs w:val="24"/>
        </w:rPr>
        <w:t>détenues par des actionnaires</w:t>
      </w:r>
      <w:r w:rsidR="00A73D9D">
        <w:rPr>
          <w:rFonts w:cs="Times New Roman"/>
          <w:szCs w:val="24"/>
        </w:rPr>
        <w:t xml:space="preserve">, voire la </w:t>
      </w:r>
      <w:r w:rsidR="00FC4420">
        <w:rPr>
          <w:rFonts w:cs="Times New Roman"/>
          <w:szCs w:val="24"/>
        </w:rPr>
        <w:t>mutation</w:t>
      </w:r>
      <w:r w:rsidR="00A73D9D">
        <w:rPr>
          <w:rFonts w:cs="Times New Roman"/>
          <w:szCs w:val="24"/>
        </w:rPr>
        <w:t xml:space="preserve"> d’ANF en </w:t>
      </w:r>
      <w:r w:rsidRPr="00BD366D">
        <w:rPr>
          <w:rFonts w:cs="Times New Roman"/>
          <w:szCs w:val="24"/>
        </w:rPr>
        <w:t xml:space="preserve">institution financière </w:t>
      </w:r>
      <w:r w:rsidR="00A73D9D">
        <w:rPr>
          <w:rFonts w:cs="Times New Roman"/>
          <w:szCs w:val="24"/>
        </w:rPr>
        <w:t>de plein droit</w:t>
      </w:r>
      <w:r w:rsidRPr="00BD366D">
        <w:rPr>
          <w:rFonts w:cs="Times New Roman"/>
          <w:szCs w:val="24"/>
        </w:rPr>
        <w:t>. Des modifications en termes de gouvernance (Urgeghe, 2009) enten</w:t>
      </w:r>
      <w:r w:rsidR="00EE005B" w:rsidRPr="00EE005B">
        <w:rPr>
          <w:rFonts w:cs="Times New Roman"/>
          <w:szCs w:val="24"/>
        </w:rPr>
        <w:t>due au sens large en découlent.</w:t>
      </w:r>
      <w:r w:rsidRPr="00BD366D">
        <w:rPr>
          <w:rFonts w:cs="Times New Roman"/>
          <w:szCs w:val="24"/>
        </w:rPr>
        <w:t xml:space="preserve"> </w:t>
      </w:r>
      <w:r w:rsidR="00EE005B" w:rsidRPr="00EE005B">
        <w:rPr>
          <w:rFonts w:cs="Times New Roman"/>
          <w:szCs w:val="24"/>
        </w:rPr>
        <w:t>N</w:t>
      </w:r>
      <w:r w:rsidRPr="00BD366D">
        <w:rPr>
          <w:rFonts w:cs="Times New Roman"/>
          <w:szCs w:val="24"/>
        </w:rPr>
        <w:t xml:space="preserve">on seulement la performance financière est </w:t>
      </w:r>
      <w:r w:rsidR="00EE005B" w:rsidRPr="00A73D9D">
        <w:rPr>
          <w:rFonts w:cs="Times New Roman"/>
          <w:szCs w:val="24"/>
        </w:rPr>
        <w:t>maintenant</w:t>
      </w:r>
      <w:r w:rsidRPr="00A73D9D">
        <w:rPr>
          <w:rFonts w:cs="Times New Roman"/>
          <w:szCs w:val="24"/>
        </w:rPr>
        <w:t xml:space="preserve"> observée </w:t>
      </w:r>
      <w:r w:rsidRPr="00BD366D">
        <w:rPr>
          <w:rFonts w:cs="Times New Roman"/>
          <w:szCs w:val="24"/>
        </w:rPr>
        <w:t>voire attendue, mais bien plus –</w:t>
      </w:r>
      <w:r w:rsidR="00EE005B" w:rsidRPr="00EE005B">
        <w:rPr>
          <w:rFonts w:cs="Times New Roman"/>
          <w:szCs w:val="24"/>
        </w:rPr>
        <w:t xml:space="preserve"> et presque paradoxalement –</w:t>
      </w:r>
      <w:r w:rsidRPr="00BD366D">
        <w:rPr>
          <w:rFonts w:cs="Times New Roman"/>
          <w:szCs w:val="24"/>
        </w:rPr>
        <w:t xml:space="preserve"> il devient aujourd’hui </w:t>
      </w:r>
      <w:r w:rsidR="00A73D9D">
        <w:rPr>
          <w:rFonts w:cs="Times New Roman"/>
          <w:szCs w:val="24"/>
        </w:rPr>
        <w:t>nécessaire pour</w:t>
      </w:r>
      <w:r w:rsidRPr="00BD366D">
        <w:rPr>
          <w:rFonts w:cs="Times New Roman"/>
          <w:szCs w:val="24"/>
        </w:rPr>
        <w:t xml:space="preserve"> ces IMF </w:t>
      </w:r>
      <w:r w:rsidR="00A73D9D">
        <w:rPr>
          <w:rFonts w:cs="Times New Roman"/>
          <w:szCs w:val="24"/>
        </w:rPr>
        <w:t>de faire</w:t>
      </w:r>
      <w:r w:rsidRPr="00BD366D">
        <w:rPr>
          <w:rFonts w:cs="Times New Roman"/>
          <w:szCs w:val="24"/>
        </w:rPr>
        <w:t xml:space="preserve"> la preuve de leur performance sociale ou dite « développementale » (</w:t>
      </w:r>
      <w:r w:rsidR="00FC4420">
        <w:rPr>
          <w:rFonts w:cs="Times New Roman"/>
          <w:szCs w:val="24"/>
        </w:rPr>
        <w:t xml:space="preserve">Hashemi, 2007, </w:t>
      </w:r>
      <w:r w:rsidRPr="00BD366D">
        <w:rPr>
          <w:rFonts w:cs="Times New Roman"/>
          <w:szCs w:val="24"/>
        </w:rPr>
        <w:t>Reille et Forster, 2008). Ces évolutions induisent des pratiques changeantes où s’entrecroisent les études d’impacts, l</w:t>
      </w:r>
      <w:r w:rsidR="00805286">
        <w:rPr>
          <w:rFonts w:cs="Times New Roman"/>
          <w:szCs w:val="24"/>
        </w:rPr>
        <w:t>’introduction</w:t>
      </w:r>
      <w:r w:rsidRPr="00BD366D">
        <w:rPr>
          <w:rFonts w:cs="Times New Roman"/>
          <w:szCs w:val="24"/>
        </w:rPr>
        <w:t xml:space="preserve"> de processus favorisant suivi et transparence, une réduction des coûts, une gestion plus stricte des risques, l’élaboration de processus de contrôles liés pour beaucoup à </w:t>
      </w:r>
      <w:r w:rsidR="00EE005B" w:rsidRPr="00EE005B">
        <w:rPr>
          <w:rFonts w:cs="Times New Roman"/>
          <w:szCs w:val="24"/>
        </w:rPr>
        <w:t>des méthodes plus centralisées…</w:t>
      </w:r>
      <w:r w:rsidR="00A73D9D">
        <w:rPr>
          <w:rFonts w:cs="Times New Roman"/>
          <w:szCs w:val="24"/>
        </w:rPr>
        <w:t xml:space="preserve"> Ainsi</w:t>
      </w:r>
      <w:r w:rsidRPr="00BD366D">
        <w:rPr>
          <w:rFonts w:cs="Times New Roman"/>
          <w:szCs w:val="24"/>
        </w:rPr>
        <w:t xml:space="preserve">, se met en place dans le secteur une exigence de capacité à rendre compte à l’égard de leurs pourvoyeurs en capitaux, ce qui provoque des effets en cascade en termes de </w:t>
      </w:r>
      <w:r w:rsidRPr="00BD366D">
        <w:rPr>
          <w:rFonts w:cs="Times New Roman"/>
          <w:b/>
          <w:szCs w:val="24"/>
        </w:rPr>
        <w:t>formalisation et de processus de gestion</w:t>
      </w:r>
      <w:r w:rsidRPr="00BD366D">
        <w:rPr>
          <w:rFonts w:cs="Times New Roman"/>
          <w:szCs w:val="24"/>
        </w:rPr>
        <w:t xml:space="preserve"> au sein des IMF. Ces dernières se voient contraintes </w:t>
      </w:r>
      <w:r w:rsidRPr="00A73D9D">
        <w:rPr>
          <w:rFonts w:cs="Times New Roman"/>
          <w:szCs w:val="24"/>
        </w:rPr>
        <w:t xml:space="preserve">d’abandonner </w:t>
      </w:r>
      <w:r w:rsidR="00A73D9D" w:rsidRPr="00A73D9D">
        <w:rPr>
          <w:rFonts w:cs="Times New Roman"/>
          <w:szCs w:val="24"/>
        </w:rPr>
        <w:t>toujours davantage</w:t>
      </w:r>
      <w:r w:rsidR="00A73D9D">
        <w:rPr>
          <w:rFonts w:cs="Times New Roman"/>
          <w:strike/>
          <w:szCs w:val="24"/>
        </w:rPr>
        <w:t xml:space="preserve"> </w:t>
      </w:r>
      <w:r w:rsidRPr="00BD366D">
        <w:rPr>
          <w:rFonts w:cs="Times New Roman"/>
          <w:szCs w:val="24"/>
        </w:rPr>
        <w:t xml:space="preserve">leurs pratiques peu formalisées au sein de leur organisation. Un </w:t>
      </w:r>
      <w:r w:rsidRPr="00BD366D">
        <w:rPr>
          <w:rFonts w:cs="Times New Roman"/>
          <w:b/>
          <w:szCs w:val="24"/>
        </w:rPr>
        <w:t>premier mouvement de banalisation</w:t>
      </w:r>
      <w:r w:rsidRPr="00BD366D">
        <w:rPr>
          <w:rFonts w:cs="Times New Roman"/>
          <w:szCs w:val="24"/>
        </w:rPr>
        <w:t xml:space="preserve"> s’installe en lien avec leurs référents extérieurs.</w:t>
      </w:r>
    </w:p>
    <w:p w:rsidR="00BD366D" w:rsidRPr="00BD366D" w:rsidRDefault="00BD366D" w:rsidP="00EE005B">
      <w:pPr>
        <w:jc w:val="both"/>
        <w:rPr>
          <w:rFonts w:cs="Times New Roman"/>
          <w:szCs w:val="24"/>
        </w:rPr>
      </w:pPr>
      <w:r w:rsidRPr="00BD366D">
        <w:rPr>
          <w:rFonts w:cs="Times New Roman"/>
          <w:szCs w:val="24"/>
        </w:rPr>
        <w:t xml:space="preserve">Dès lors, la </w:t>
      </w:r>
      <w:r w:rsidRPr="00EE005B">
        <w:rPr>
          <w:rFonts w:cs="Times New Roman"/>
          <w:szCs w:val="24"/>
        </w:rPr>
        <w:t>« </w:t>
      </w:r>
      <w:r w:rsidRPr="00BD366D">
        <w:rPr>
          <w:rFonts w:cs="Times New Roman"/>
          <w:szCs w:val="24"/>
        </w:rPr>
        <w:t>professionnalisation</w:t>
      </w:r>
      <w:r w:rsidRPr="00EE005B">
        <w:rPr>
          <w:rFonts w:cs="Times New Roman"/>
          <w:szCs w:val="24"/>
        </w:rPr>
        <w:t> »</w:t>
      </w:r>
      <w:r w:rsidRPr="00BD366D">
        <w:rPr>
          <w:rFonts w:cs="Times New Roman"/>
          <w:szCs w:val="24"/>
        </w:rPr>
        <w:t xml:space="preserve">, un des autres mouvements qui touche le secteur s’impose comme une nécessité. Elle </w:t>
      </w:r>
      <w:r w:rsidR="00805286">
        <w:rPr>
          <w:rFonts w:cs="Times New Roman"/>
          <w:szCs w:val="24"/>
        </w:rPr>
        <w:t>est initiée par l</w:t>
      </w:r>
      <w:r w:rsidRPr="00BD366D">
        <w:rPr>
          <w:rFonts w:cs="Times New Roman"/>
          <w:szCs w:val="24"/>
        </w:rPr>
        <w:t xml:space="preserve">es acteurs de la microfinance eux-mêmes </w:t>
      </w:r>
      <w:r w:rsidR="00EE005B" w:rsidRPr="00EE005B">
        <w:rPr>
          <w:rFonts w:cs="Times New Roman"/>
          <w:szCs w:val="24"/>
        </w:rPr>
        <w:t>à</w:t>
      </w:r>
      <w:r w:rsidRPr="00BD366D">
        <w:rPr>
          <w:rFonts w:cs="Times New Roman"/>
          <w:szCs w:val="24"/>
        </w:rPr>
        <w:t xml:space="preserve"> travers notamment d’un groupe constitué de ces mêmes acteurs qu’est le Consultative Group to Assist the Poor (CGAP). Cet organisme a concouru tout d’abord à la définition et à la diffusion de bonnes pratiques puis à la production de normes, d'outils pratiques, de services d'appui technique et de conseil, mais aussi de formation. Les thèmes de la transparence, de la gestion des risques, ou des systèmes d’informations sont traités et font partie des axes d’information et de formation. Un </w:t>
      </w:r>
      <w:r w:rsidRPr="00BD366D">
        <w:rPr>
          <w:rFonts w:cs="Times New Roman"/>
          <w:b/>
          <w:szCs w:val="24"/>
        </w:rPr>
        <w:t>deuxième mouvement de banalisation</w:t>
      </w:r>
      <w:r w:rsidRPr="00BD366D">
        <w:rPr>
          <w:rFonts w:cs="Times New Roman"/>
          <w:szCs w:val="24"/>
        </w:rPr>
        <w:t xml:space="preserve">, largement attaché au premier, </w:t>
      </w:r>
      <w:r w:rsidR="00805286">
        <w:rPr>
          <w:rFonts w:cs="Times New Roman"/>
          <w:szCs w:val="24"/>
        </w:rPr>
        <w:t>émerge. I</w:t>
      </w:r>
      <w:r w:rsidRPr="00BD366D">
        <w:rPr>
          <w:rFonts w:cs="Times New Roman"/>
          <w:szCs w:val="24"/>
        </w:rPr>
        <w:t xml:space="preserve">l découle de la volonté même des IMF de se professionnaliser en instaurant des bonnes façons de faire quasi normatives en caractérisant les agirs de la profession et en posant les connaissances, compétences et outils requis. Là encore, la banalisation </w:t>
      </w:r>
      <w:r w:rsidR="00805286">
        <w:rPr>
          <w:rFonts w:cs="Times New Roman"/>
          <w:szCs w:val="24"/>
        </w:rPr>
        <w:t>se consolide. C</w:t>
      </w:r>
      <w:r w:rsidRPr="00BD366D">
        <w:rPr>
          <w:rFonts w:cs="Times New Roman"/>
          <w:szCs w:val="24"/>
        </w:rPr>
        <w:t>ertes, les bonnes pratiques et normes qui s’édictent sont propres ou adapté</w:t>
      </w:r>
      <w:r w:rsidR="00EC21B1">
        <w:rPr>
          <w:rFonts w:cs="Times New Roman"/>
          <w:szCs w:val="24"/>
        </w:rPr>
        <w:t>e</w:t>
      </w:r>
      <w:r w:rsidRPr="00BD366D">
        <w:rPr>
          <w:rFonts w:cs="Times New Roman"/>
          <w:szCs w:val="24"/>
        </w:rPr>
        <w:t xml:space="preserve">s au secteur de la microfinance, mais dans tous les cas </w:t>
      </w:r>
      <w:r w:rsidR="00D27B95">
        <w:rPr>
          <w:rFonts w:cs="Times New Roman"/>
          <w:szCs w:val="24"/>
        </w:rPr>
        <w:t>reprennent</w:t>
      </w:r>
      <w:r w:rsidRPr="00BD366D">
        <w:rPr>
          <w:rFonts w:cs="Times New Roman"/>
          <w:szCs w:val="24"/>
        </w:rPr>
        <w:t xml:space="preserve"> les grands principes de gestion et d’organisation caractéristiques des structures capitalistes actuelles et qui font l’objet des grands enseignements des disciplines de gestion. Ce qui est considéré comme du bricolage ou de </w:t>
      </w:r>
      <w:r w:rsidRPr="00DD7DA9">
        <w:rPr>
          <w:rFonts w:cs="Times New Roman"/>
          <w:szCs w:val="24"/>
        </w:rPr>
        <w:t xml:space="preserve">l’amateurisme </w:t>
      </w:r>
      <w:r w:rsidRPr="00DD7DA9">
        <w:rPr>
          <w:rFonts w:cs="Times New Roman"/>
          <w:b/>
          <w:szCs w:val="24"/>
        </w:rPr>
        <w:t>n’a</w:t>
      </w:r>
      <w:r w:rsidR="00EC21B1" w:rsidRPr="00DD7DA9">
        <w:rPr>
          <w:rFonts w:cs="Times New Roman"/>
          <w:b/>
          <w:szCs w:val="24"/>
        </w:rPr>
        <w:t>urait</w:t>
      </w:r>
      <w:r w:rsidRPr="00DD7DA9">
        <w:rPr>
          <w:rFonts w:cs="Times New Roman"/>
          <w:b/>
          <w:szCs w:val="24"/>
        </w:rPr>
        <w:t xml:space="preserve"> plus lieu </w:t>
      </w:r>
      <w:r w:rsidRPr="00805286">
        <w:rPr>
          <w:rFonts w:cs="Times New Roman"/>
          <w:b/>
          <w:szCs w:val="24"/>
        </w:rPr>
        <w:t>d’être</w:t>
      </w:r>
      <w:r w:rsidRPr="00BD366D">
        <w:rPr>
          <w:rFonts w:cs="Times New Roman"/>
          <w:szCs w:val="24"/>
        </w:rPr>
        <w:t>. La microfinance a atteint désormais la maturité : elle ne doit plus relever de modes de fonctionnement aléatoires, précaires et « qui fonctionnent ». Ceci semble d’autant plus nécessaire qu’elle est de plus en plus liée aux marchés financiers et aux institutions financières qui y officient.</w:t>
      </w:r>
    </w:p>
    <w:p w:rsidR="00577708" w:rsidRPr="00DD7DA9" w:rsidRDefault="00BD366D" w:rsidP="00A6374F">
      <w:pPr>
        <w:jc w:val="both"/>
        <w:rPr>
          <w:rFonts w:cs="Times New Roman"/>
          <w:szCs w:val="24"/>
        </w:rPr>
      </w:pPr>
      <w:r w:rsidRPr="00BD366D">
        <w:rPr>
          <w:rFonts w:cs="Times New Roman"/>
          <w:szCs w:val="24"/>
        </w:rPr>
        <w:t>Les formalisations et normalisations q</w:t>
      </w:r>
      <w:r w:rsidR="00A6374F" w:rsidRPr="00A6374F">
        <w:rPr>
          <w:rFonts w:cs="Times New Roman"/>
          <w:szCs w:val="24"/>
        </w:rPr>
        <w:t>ui s’instaurent chez les IMF à</w:t>
      </w:r>
      <w:r w:rsidRPr="00BD366D">
        <w:rPr>
          <w:rFonts w:cs="Times New Roman"/>
          <w:szCs w:val="24"/>
        </w:rPr>
        <w:t xml:space="preserve"> travers la commercialisation, </w:t>
      </w:r>
      <w:r w:rsidR="00D27B95">
        <w:rPr>
          <w:rFonts w:cs="Times New Roman"/>
          <w:szCs w:val="24"/>
        </w:rPr>
        <w:t>la professionnalisation et</w:t>
      </w:r>
      <w:r w:rsidRPr="00BD366D">
        <w:rPr>
          <w:rFonts w:cs="Times New Roman"/>
          <w:szCs w:val="24"/>
        </w:rPr>
        <w:t xml:space="preserve"> la maturité du secteur affirment un mouvement de banalisation, au sens d’une évolution des pratiques </w:t>
      </w:r>
      <w:r w:rsidR="00805286" w:rsidRPr="00805286">
        <w:rPr>
          <w:rFonts w:cs="Times New Roman"/>
          <w:szCs w:val="24"/>
        </w:rPr>
        <w:t xml:space="preserve">maintenant </w:t>
      </w:r>
      <w:r w:rsidRPr="00805286">
        <w:rPr>
          <w:rFonts w:cs="Times New Roman"/>
          <w:szCs w:val="24"/>
        </w:rPr>
        <w:t>en</w:t>
      </w:r>
      <w:r w:rsidRPr="00BD366D">
        <w:rPr>
          <w:rFonts w:cs="Times New Roman"/>
          <w:szCs w:val="24"/>
        </w:rPr>
        <w:t xml:space="preserve"> phase avec les pratiques habituelles et largement occidentalisées des institutions financières. Cette banalisation suppose une perte de spécificité</w:t>
      </w:r>
      <w:r w:rsidR="00D27B95">
        <w:rPr>
          <w:rFonts w:cs="Times New Roman"/>
          <w:szCs w:val="24"/>
        </w:rPr>
        <w:t>s</w:t>
      </w:r>
      <w:r w:rsidRPr="00BD366D">
        <w:rPr>
          <w:rFonts w:cs="Times New Roman"/>
          <w:szCs w:val="24"/>
        </w:rPr>
        <w:t xml:space="preserve"> des institutions dédiées à </w:t>
      </w:r>
      <w:r w:rsidR="00A6374F" w:rsidRPr="00A6374F">
        <w:rPr>
          <w:rFonts w:cs="Times New Roman"/>
          <w:szCs w:val="24"/>
        </w:rPr>
        <w:t>la micro</w:t>
      </w:r>
      <w:r w:rsidRPr="00BD366D">
        <w:rPr>
          <w:rFonts w:cs="Times New Roman"/>
          <w:szCs w:val="24"/>
        </w:rPr>
        <w:t>finance et des pratiques là encore spécifiques qu’elles avaient mis</w:t>
      </w:r>
      <w:r w:rsidR="00A6374F">
        <w:rPr>
          <w:rFonts w:cs="Times New Roman"/>
          <w:szCs w:val="24"/>
        </w:rPr>
        <w:t>es</w:t>
      </w:r>
      <w:r w:rsidRPr="00BD366D">
        <w:rPr>
          <w:rFonts w:cs="Times New Roman"/>
          <w:szCs w:val="24"/>
        </w:rPr>
        <w:t xml:space="preserve"> en place. Les principes de rationalisation des coûts, d’optimisation des processus gagnent en puissance dans le secteur. Ces nouvelles exigences semblent contradictoires avec les pratiques de la microfinance inspirée</w:t>
      </w:r>
      <w:r w:rsidR="00EC21B1">
        <w:rPr>
          <w:rFonts w:cs="Times New Roman"/>
          <w:szCs w:val="24"/>
        </w:rPr>
        <w:t>s</w:t>
      </w:r>
      <w:r w:rsidRPr="00BD366D">
        <w:rPr>
          <w:rFonts w:cs="Times New Roman"/>
          <w:szCs w:val="24"/>
        </w:rPr>
        <w:t xml:space="preserve"> de la finance informelle. Comment conserver des pratiques chronophages et non strictement dédiés à la transaction financière  dans un tel contexte</w:t>
      </w:r>
      <w:r w:rsidR="00A6374F" w:rsidRPr="00A6374F">
        <w:rPr>
          <w:rFonts w:cs="Times New Roman"/>
          <w:szCs w:val="24"/>
        </w:rPr>
        <w:t xml:space="preserve"> </w:t>
      </w:r>
      <w:r w:rsidRPr="00BD366D">
        <w:rPr>
          <w:rFonts w:cs="Times New Roman"/>
          <w:szCs w:val="24"/>
        </w:rPr>
        <w:t>? Le caractère indigène</w:t>
      </w:r>
      <w:r w:rsidR="00D27B95">
        <w:rPr>
          <w:rStyle w:val="FootnoteReference"/>
          <w:rFonts w:cs="Times New Roman"/>
          <w:szCs w:val="24"/>
        </w:rPr>
        <w:footnoteReference w:id="7"/>
      </w:r>
      <w:r w:rsidRPr="00BD366D">
        <w:rPr>
          <w:rFonts w:cs="Times New Roman"/>
          <w:szCs w:val="24"/>
        </w:rPr>
        <w:t xml:space="preserve"> et sur mesure évoqué par Lelart (2005, p 36) semble être</w:t>
      </w:r>
      <w:r w:rsidR="00DF6A15">
        <w:rPr>
          <w:rFonts w:cs="Times New Roman"/>
          <w:szCs w:val="24"/>
        </w:rPr>
        <w:t xml:space="preserve"> de </w:t>
      </w:r>
      <w:r w:rsidR="00DF6A15" w:rsidRPr="00DD7DA9">
        <w:rPr>
          <w:rFonts w:cs="Times New Roman"/>
          <w:szCs w:val="24"/>
        </w:rPr>
        <w:t xml:space="preserve">plus en plus en souffrance. Flynn (2007, p. 21) </w:t>
      </w:r>
      <w:r w:rsidR="00AE13C6" w:rsidRPr="00DD7DA9">
        <w:rPr>
          <w:rFonts w:cs="Times New Roman"/>
          <w:szCs w:val="24"/>
        </w:rPr>
        <w:t xml:space="preserve">estime que la microfinance relève de plus en plus </w:t>
      </w:r>
      <w:r w:rsidR="00DF6A15" w:rsidRPr="00DD7DA9">
        <w:rPr>
          <w:rFonts w:cs="Times New Roman"/>
          <w:szCs w:val="24"/>
        </w:rPr>
        <w:t xml:space="preserve">« </w:t>
      </w:r>
      <w:r w:rsidR="00DD7DA9" w:rsidRPr="00DD7DA9">
        <w:rPr>
          <w:rFonts w:cs="Times New Roman"/>
          <w:szCs w:val="24"/>
        </w:rPr>
        <w:t xml:space="preserve">[…] </w:t>
      </w:r>
      <w:r w:rsidR="00DF6A15" w:rsidRPr="00DD7DA9">
        <w:rPr>
          <w:rFonts w:cs="Times New Roman"/>
          <w:szCs w:val="24"/>
        </w:rPr>
        <w:t>du fonctionnement normal du capitalisme mondialisé ».</w:t>
      </w:r>
    </w:p>
    <w:p w:rsidR="00805286" w:rsidRDefault="00805286" w:rsidP="00A6374F">
      <w:pPr>
        <w:jc w:val="both"/>
        <w:rPr>
          <w:rFonts w:cs="Times New Roman"/>
          <w:szCs w:val="24"/>
        </w:rPr>
      </w:pPr>
      <w:r>
        <w:rPr>
          <w:rFonts w:cs="Times New Roman"/>
          <w:szCs w:val="24"/>
        </w:rPr>
        <w:t>Plus précisément, la relation financeur-financé est au cœur du processus de banalisation et de formalisation.</w:t>
      </w:r>
      <w:r w:rsidR="00B938CC">
        <w:rPr>
          <w:rFonts w:cs="Times New Roman"/>
          <w:szCs w:val="24"/>
        </w:rPr>
        <w:t xml:space="preserve"> Qu’elles concernent les institutions elles-mêmes, les produits, les transactions ou les modes organisationnels, l</w:t>
      </w:r>
      <w:r>
        <w:rPr>
          <w:rFonts w:cs="Times New Roman"/>
          <w:szCs w:val="24"/>
        </w:rPr>
        <w:t xml:space="preserve">es transformations de la microfinance vont </w:t>
      </w:r>
      <w:r w:rsidR="00B938CC">
        <w:rPr>
          <w:rFonts w:cs="Times New Roman"/>
          <w:szCs w:val="24"/>
        </w:rPr>
        <w:t xml:space="preserve">impacter la relation financière qui est pourtant bien au cœur de l’informalité – caractéristique forte des populations des PVD. Alors que de nombreuses études traitent des autres aspects de ces évolutions, l’analyse de la relation financeur-financé demande une attention particulière, notamment sur le mode de pensée de chacun des acteurs. </w:t>
      </w:r>
    </w:p>
    <w:p w:rsidR="00726BE0" w:rsidRDefault="00726BE0" w:rsidP="001F017D">
      <w:pPr>
        <w:ind w:firstLine="0"/>
        <w:jc w:val="both"/>
        <w:rPr>
          <w:rFonts w:cs="Times New Roman"/>
          <w:szCs w:val="24"/>
        </w:rPr>
      </w:pPr>
    </w:p>
    <w:p w:rsidR="001F017D" w:rsidRPr="00577708" w:rsidRDefault="001F017D" w:rsidP="001F017D">
      <w:pPr>
        <w:ind w:firstLine="0"/>
        <w:jc w:val="both"/>
        <w:rPr>
          <w:rFonts w:cs="Times New Roman"/>
          <w:szCs w:val="24"/>
        </w:rPr>
      </w:pPr>
    </w:p>
    <w:p w:rsidR="00643946" w:rsidRPr="00726BE0" w:rsidRDefault="007B2185" w:rsidP="007B2185">
      <w:pPr>
        <w:pStyle w:val="ListParagraph"/>
        <w:numPr>
          <w:ilvl w:val="0"/>
          <w:numId w:val="6"/>
        </w:numPr>
        <w:spacing w:after="240" w:line="240" w:lineRule="auto"/>
        <w:ind w:left="567" w:hanging="567"/>
        <w:jc w:val="both"/>
        <w:rPr>
          <w:rFonts w:eastAsia="Calibri" w:cs="Times New Roman"/>
          <w:b/>
          <w:sz w:val="28"/>
        </w:rPr>
      </w:pPr>
      <w:r w:rsidRPr="00726BE0">
        <w:rPr>
          <w:rFonts w:eastAsia="Calibri" w:cs="Times New Roman"/>
          <w:b/>
          <w:sz w:val="28"/>
        </w:rPr>
        <w:t xml:space="preserve">Les </w:t>
      </w:r>
      <w:r w:rsidR="00726BE0" w:rsidRPr="00726BE0">
        <w:rPr>
          <w:rFonts w:eastAsia="Calibri" w:cs="Times New Roman"/>
          <w:b/>
          <w:sz w:val="28"/>
        </w:rPr>
        <w:t>modes de p</w:t>
      </w:r>
      <w:r w:rsidRPr="00726BE0">
        <w:rPr>
          <w:rFonts w:eastAsia="Calibri" w:cs="Times New Roman"/>
          <w:b/>
          <w:sz w:val="28"/>
        </w:rPr>
        <w:t xml:space="preserve">ensées de Lévi-Strauss et ses idéaux types : des rationalités </w:t>
      </w:r>
      <w:r w:rsidR="00EF48FD" w:rsidRPr="00726BE0">
        <w:rPr>
          <w:rFonts w:eastAsia="Calibri" w:cs="Times New Roman"/>
          <w:b/>
          <w:sz w:val="28"/>
        </w:rPr>
        <w:t xml:space="preserve">diverses </w:t>
      </w:r>
      <w:r w:rsidRPr="00726BE0">
        <w:rPr>
          <w:rFonts w:eastAsia="Calibri" w:cs="Times New Roman"/>
          <w:b/>
          <w:sz w:val="28"/>
        </w:rPr>
        <w:t>et de</w:t>
      </w:r>
      <w:r w:rsidR="00EF48FD" w:rsidRPr="00726BE0">
        <w:rPr>
          <w:rFonts w:eastAsia="Calibri" w:cs="Times New Roman"/>
          <w:b/>
          <w:sz w:val="28"/>
        </w:rPr>
        <w:t>s acteurs économiques différents</w:t>
      </w:r>
      <w:r w:rsidRPr="00726BE0">
        <w:rPr>
          <w:rFonts w:eastAsia="Calibri" w:cs="Times New Roman"/>
          <w:b/>
          <w:sz w:val="28"/>
        </w:rPr>
        <w:t xml:space="preserve"> à l’œuvre</w:t>
      </w:r>
    </w:p>
    <w:p w:rsidR="000F504B" w:rsidRDefault="000F504B" w:rsidP="00643946">
      <w:pPr>
        <w:ind w:firstLine="0"/>
        <w:jc w:val="both"/>
        <w:rPr>
          <w:rFonts w:eastAsia="Times New Roman" w:cs="Times New Roman"/>
          <w:szCs w:val="24"/>
        </w:rPr>
      </w:pPr>
      <w:r>
        <w:rPr>
          <w:rFonts w:eastAsia="Times New Roman" w:cs="Times New Roman"/>
          <w:szCs w:val="24"/>
        </w:rPr>
        <w:t xml:space="preserve">La finance formelle, soit le secteur financier tel que nous le connaissons, a connu lui aussi bon nombre de </w:t>
      </w:r>
      <w:r w:rsidRPr="008334AE">
        <w:rPr>
          <w:rFonts w:eastAsia="Times New Roman" w:cs="Times New Roman"/>
          <w:szCs w:val="24"/>
        </w:rPr>
        <w:t>transformation</w:t>
      </w:r>
      <w:r w:rsidR="00760823" w:rsidRPr="008334AE">
        <w:rPr>
          <w:rFonts w:eastAsia="Times New Roman" w:cs="Times New Roman"/>
          <w:szCs w:val="24"/>
        </w:rPr>
        <w:t>s</w:t>
      </w:r>
      <w:r w:rsidR="008334AE">
        <w:rPr>
          <w:rFonts w:eastAsia="Times New Roman" w:cs="Times New Roman"/>
          <w:szCs w:val="24"/>
        </w:rPr>
        <w:t xml:space="preserve"> et </w:t>
      </w:r>
      <w:r w:rsidR="008334AE" w:rsidRPr="00CF15A3">
        <w:rPr>
          <w:rFonts w:eastAsia="Times New Roman" w:cs="Times New Roman"/>
          <w:szCs w:val="24"/>
        </w:rPr>
        <w:t>de processus de formalisation</w:t>
      </w:r>
      <w:r w:rsidRPr="00CF15A3">
        <w:rPr>
          <w:rFonts w:eastAsia="Times New Roman" w:cs="Times New Roman"/>
          <w:szCs w:val="24"/>
        </w:rPr>
        <w:t>. Or</w:t>
      </w:r>
      <w:r>
        <w:rPr>
          <w:rFonts w:eastAsia="Times New Roman" w:cs="Times New Roman"/>
          <w:szCs w:val="24"/>
        </w:rPr>
        <w:t xml:space="preserve">, depuis les années 80, ce </w:t>
      </w:r>
      <w:r w:rsidRPr="00C7129A">
        <w:rPr>
          <w:rFonts w:eastAsia="Times New Roman" w:cs="Times New Roman"/>
          <w:szCs w:val="24"/>
        </w:rPr>
        <w:t xml:space="preserve">secteur </w:t>
      </w:r>
      <w:r w:rsidR="00760823" w:rsidRPr="00C7129A">
        <w:rPr>
          <w:rFonts w:eastAsia="Times New Roman" w:cs="Times New Roman"/>
          <w:szCs w:val="24"/>
        </w:rPr>
        <w:t xml:space="preserve">peut-être </w:t>
      </w:r>
      <w:r w:rsidRPr="00C7129A">
        <w:rPr>
          <w:rFonts w:eastAsia="Times New Roman" w:cs="Times New Roman"/>
          <w:szCs w:val="24"/>
        </w:rPr>
        <w:t xml:space="preserve">plus que tout </w:t>
      </w:r>
      <w:r>
        <w:rPr>
          <w:rFonts w:eastAsia="Times New Roman" w:cs="Times New Roman"/>
          <w:szCs w:val="24"/>
        </w:rPr>
        <w:t>autre est à la recherche de performance et de</w:t>
      </w:r>
      <w:r w:rsidRPr="00643946">
        <w:rPr>
          <w:rFonts w:eastAsia="Times New Roman" w:cs="Times New Roman"/>
          <w:szCs w:val="24"/>
        </w:rPr>
        <w:t xml:space="preserve"> rationalisation ; les métiers de la banque et de la finance ont connu – et connaissent encore – de profonds bouleverseme</w:t>
      </w:r>
      <w:r>
        <w:rPr>
          <w:rFonts w:eastAsia="Times New Roman" w:cs="Times New Roman"/>
          <w:szCs w:val="24"/>
        </w:rPr>
        <w:t>nts dans leurs structurations,</w:t>
      </w:r>
      <w:r w:rsidRPr="00643946">
        <w:rPr>
          <w:rFonts w:eastAsia="Times New Roman" w:cs="Times New Roman"/>
          <w:szCs w:val="24"/>
        </w:rPr>
        <w:t xml:space="preserve"> leurs pratiques</w:t>
      </w:r>
      <w:r>
        <w:rPr>
          <w:rFonts w:eastAsia="Times New Roman" w:cs="Times New Roman"/>
          <w:szCs w:val="24"/>
        </w:rPr>
        <w:t xml:space="preserve"> et leur relation à la clientèle.</w:t>
      </w:r>
    </w:p>
    <w:p w:rsidR="007104F5" w:rsidRDefault="000F504B" w:rsidP="007104F5">
      <w:pPr>
        <w:jc w:val="both"/>
        <w:rPr>
          <w:rFonts w:eastAsia="Times New Roman" w:cs="Times New Roman"/>
          <w:szCs w:val="24"/>
        </w:rPr>
      </w:pPr>
      <w:r>
        <w:rPr>
          <w:rFonts w:eastAsia="Times New Roman" w:cs="Times New Roman"/>
          <w:szCs w:val="24"/>
        </w:rPr>
        <w:t xml:space="preserve">La relation financeur-financé </w:t>
      </w:r>
      <w:r w:rsidR="007104F5">
        <w:rPr>
          <w:rFonts w:eastAsia="Times New Roman" w:cs="Times New Roman"/>
          <w:szCs w:val="24"/>
        </w:rPr>
        <w:t>s’inscrit maintenant dans une approche plus globale du risque et de l’activité bancaire, dont le client n’est qu’une variable parmi d’autres paramètres dans un portefeuille d’actifs et de créances</w:t>
      </w:r>
      <w:r w:rsidRPr="00643946">
        <w:rPr>
          <w:rFonts w:eastAsia="Times New Roman" w:cs="Times New Roman"/>
          <w:szCs w:val="24"/>
        </w:rPr>
        <w:t>.</w:t>
      </w:r>
      <w:r w:rsidR="007104F5">
        <w:rPr>
          <w:rFonts w:eastAsia="Times New Roman" w:cs="Times New Roman"/>
          <w:szCs w:val="24"/>
        </w:rPr>
        <w:t xml:space="preserve"> Il s’agit bien de rationaliser et </w:t>
      </w:r>
      <w:r w:rsidR="00AE13C6">
        <w:rPr>
          <w:rFonts w:eastAsia="Times New Roman" w:cs="Times New Roman"/>
          <w:szCs w:val="24"/>
        </w:rPr>
        <w:t>d’</w:t>
      </w:r>
      <w:r w:rsidR="007104F5">
        <w:rPr>
          <w:rFonts w:eastAsia="Times New Roman" w:cs="Times New Roman"/>
          <w:szCs w:val="24"/>
        </w:rPr>
        <w:t>optimiser le crédit au vu du reste de l’activité bancaire. Or, cette stratégie et ces objectifs</w:t>
      </w:r>
      <w:r w:rsidR="00643946" w:rsidRPr="00643946">
        <w:rPr>
          <w:rFonts w:eastAsia="Times New Roman" w:cs="Times New Roman"/>
          <w:szCs w:val="24"/>
        </w:rPr>
        <w:t xml:space="preserve"> suppose</w:t>
      </w:r>
      <w:r w:rsidR="007104F5">
        <w:rPr>
          <w:rFonts w:eastAsia="Times New Roman" w:cs="Times New Roman"/>
          <w:szCs w:val="24"/>
        </w:rPr>
        <w:t>nt</w:t>
      </w:r>
      <w:r w:rsidR="00643946" w:rsidRPr="00643946">
        <w:rPr>
          <w:rFonts w:eastAsia="Times New Roman" w:cs="Times New Roman"/>
          <w:szCs w:val="24"/>
        </w:rPr>
        <w:t xml:space="preserve"> un cer</w:t>
      </w:r>
      <w:r w:rsidR="007104F5">
        <w:rPr>
          <w:rFonts w:eastAsia="Times New Roman" w:cs="Times New Roman"/>
          <w:szCs w:val="24"/>
        </w:rPr>
        <w:t>tain rapport de l’homme à l’</w:t>
      </w:r>
      <w:r w:rsidR="00643946" w:rsidRPr="00643946">
        <w:rPr>
          <w:rFonts w:eastAsia="Times New Roman" w:cs="Times New Roman"/>
          <w:szCs w:val="24"/>
        </w:rPr>
        <w:t xml:space="preserve">activité </w:t>
      </w:r>
      <w:r w:rsidR="007104F5">
        <w:rPr>
          <w:rFonts w:eastAsia="Times New Roman" w:cs="Times New Roman"/>
          <w:szCs w:val="24"/>
        </w:rPr>
        <w:t xml:space="preserve">économique – ici bancaire – </w:t>
      </w:r>
      <w:r w:rsidR="00643946" w:rsidRPr="00643946">
        <w:rPr>
          <w:rFonts w:eastAsia="Times New Roman" w:cs="Times New Roman"/>
          <w:szCs w:val="24"/>
        </w:rPr>
        <w:t>et une con</w:t>
      </w:r>
      <w:r w:rsidR="007104F5">
        <w:rPr>
          <w:rFonts w:eastAsia="Times New Roman" w:cs="Times New Roman"/>
          <w:szCs w:val="24"/>
        </w:rPr>
        <w:t>ception, une pensée spécifique.</w:t>
      </w:r>
    </w:p>
    <w:p w:rsidR="00643946" w:rsidRPr="00643946" w:rsidRDefault="007104F5" w:rsidP="007104F5">
      <w:pPr>
        <w:jc w:val="both"/>
        <w:rPr>
          <w:rFonts w:eastAsia="Times New Roman" w:cs="Times New Roman"/>
          <w:szCs w:val="24"/>
        </w:rPr>
      </w:pPr>
      <w:r>
        <w:rPr>
          <w:rFonts w:eastAsia="Times New Roman" w:cs="Times New Roman"/>
          <w:szCs w:val="24"/>
        </w:rPr>
        <w:t>Effectivement</w:t>
      </w:r>
      <w:r w:rsidR="00643946" w:rsidRPr="00643946">
        <w:rPr>
          <w:rFonts w:eastAsia="Times New Roman" w:cs="Times New Roman"/>
          <w:szCs w:val="24"/>
        </w:rPr>
        <w:t>, les expériences malheureuses des institutions financières « classiques » dans les pays en développement sont nombreuses – taux de bancarisation faibles, difficultés de gestion des liquidités et de la monnaie scripturale etc… – car les popu</w:t>
      </w:r>
      <w:r w:rsidR="00C7129A">
        <w:rPr>
          <w:rFonts w:eastAsia="Times New Roman" w:cs="Times New Roman"/>
          <w:szCs w:val="24"/>
        </w:rPr>
        <w:t xml:space="preserve">lations locales restent </w:t>
      </w:r>
      <w:r w:rsidR="00C7129A" w:rsidRPr="00CF15A3">
        <w:rPr>
          <w:rFonts w:eastAsia="Times New Roman" w:cs="Times New Roman"/>
          <w:szCs w:val="24"/>
        </w:rPr>
        <w:t xml:space="preserve">troublées </w:t>
      </w:r>
      <w:r w:rsidR="00643946" w:rsidRPr="00CF15A3">
        <w:rPr>
          <w:rFonts w:eastAsia="Times New Roman" w:cs="Times New Roman"/>
          <w:szCs w:val="24"/>
        </w:rPr>
        <w:t xml:space="preserve">ou perplexes face à ces pratiques ; pire, parfois elles ne semblent pas </w:t>
      </w:r>
      <w:r w:rsidR="00643946" w:rsidRPr="00643946">
        <w:rPr>
          <w:rFonts w:eastAsia="Times New Roman" w:cs="Times New Roman"/>
          <w:szCs w:val="24"/>
        </w:rPr>
        <w:t xml:space="preserve">« comprendre ». En dehors des explications imprécises autour du manque d’habitude ou de blocage culturel, l’approche de Lévi-Strauss est riche d’enseignements. L’objet de la </w:t>
      </w:r>
      <w:r w:rsidR="00643946" w:rsidRPr="00643946">
        <w:rPr>
          <w:rFonts w:eastAsia="Times New Roman" w:cs="Times New Roman"/>
          <w:i/>
          <w:szCs w:val="24"/>
        </w:rPr>
        <w:t>Pensée sauvage</w:t>
      </w:r>
      <w:r w:rsidR="00643946" w:rsidRPr="00643946">
        <w:rPr>
          <w:rFonts w:eastAsia="Times New Roman" w:cs="Times New Roman"/>
          <w:szCs w:val="24"/>
        </w:rPr>
        <w:t xml:space="preserve"> (1962) consiste avant tout chose à mettre fin à l’idée d’une mentalité primitive. Sa démarche vise en effet à réhabiliter des modes de pensée apparemment étrangers ou jugés inférieurs – moins efficaces – à la pensée occidentale qui serait, quant à elle, rationnelle et scientifique. Pour lui, la logique est bien le fait de </w:t>
      </w:r>
      <w:r w:rsidR="00643946" w:rsidRPr="00643946">
        <w:rPr>
          <w:rFonts w:eastAsia="Times New Roman" w:cs="Times New Roman"/>
          <w:b/>
          <w:szCs w:val="24"/>
        </w:rPr>
        <w:t>tout homme</w:t>
      </w:r>
      <w:r w:rsidR="00643946" w:rsidRPr="00643946">
        <w:rPr>
          <w:rFonts w:eastAsia="Times New Roman" w:cs="Times New Roman"/>
          <w:szCs w:val="24"/>
        </w:rPr>
        <w:t xml:space="preserve"> même si elle revêt des structurations et des formes différentes et met en œuvre des moyens divers.</w:t>
      </w:r>
    </w:p>
    <w:p w:rsidR="00643946" w:rsidRPr="00643946" w:rsidRDefault="00643946" w:rsidP="00643946">
      <w:pPr>
        <w:jc w:val="both"/>
        <w:rPr>
          <w:rFonts w:eastAsia="Times New Roman" w:cs="Times New Roman"/>
          <w:szCs w:val="24"/>
        </w:rPr>
      </w:pPr>
      <w:r w:rsidRPr="008334AE">
        <w:rPr>
          <w:rFonts w:eastAsia="Times New Roman" w:cs="Times New Roman"/>
          <w:szCs w:val="24"/>
        </w:rPr>
        <w:t xml:space="preserve">Ici, Lévi-Strauss nous permet de caractériser un rapport à l’activité économique et au financement. Nous verrons qu’entre la finance occidentale et la finance informelle du Sud, la microfinance joue </w:t>
      </w:r>
      <w:r w:rsidRPr="008334AE">
        <w:rPr>
          <w:rFonts w:eastAsia="Times New Roman" w:cs="Times New Roman"/>
          <w:b/>
          <w:szCs w:val="24"/>
        </w:rPr>
        <w:t>un rôle bien spécifique</w:t>
      </w:r>
      <w:r w:rsidRPr="008334AE">
        <w:rPr>
          <w:rFonts w:eastAsia="Times New Roman" w:cs="Times New Roman"/>
          <w:szCs w:val="24"/>
        </w:rPr>
        <w:t xml:space="preserve"> et qui prend alors une dimension fondamentale de chainon manquant.</w:t>
      </w:r>
    </w:p>
    <w:p w:rsidR="00643946" w:rsidRPr="00643946" w:rsidRDefault="00643946" w:rsidP="00643946">
      <w:pPr>
        <w:jc w:val="both"/>
        <w:rPr>
          <w:rFonts w:eastAsia="Times New Roman" w:cs="Times New Roman"/>
          <w:szCs w:val="24"/>
        </w:rPr>
      </w:pPr>
    </w:p>
    <w:p w:rsidR="00643946" w:rsidRPr="00643946" w:rsidRDefault="00643946" w:rsidP="007B2185">
      <w:pPr>
        <w:numPr>
          <w:ilvl w:val="1"/>
          <w:numId w:val="6"/>
        </w:numPr>
        <w:ind w:left="567" w:hanging="567"/>
        <w:rPr>
          <w:rFonts w:eastAsia="Times New Roman" w:cs="Times New Roman"/>
          <w:b/>
          <w:i/>
          <w:szCs w:val="24"/>
        </w:rPr>
      </w:pPr>
      <w:r w:rsidRPr="00643946">
        <w:rPr>
          <w:rFonts w:eastAsia="Times New Roman" w:cs="Times New Roman"/>
          <w:b/>
          <w:i/>
          <w:szCs w:val="24"/>
        </w:rPr>
        <w:t>Lévi-Strauss, l’ingénieur et le bricoleur en action : des modes de faire divergents</w:t>
      </w:r>
    </w:p>
    <w:p w:rsidR="00643946" w:rsidRPr="00643946" w:rsidRDefault="00936268" w:rsidP="00643946">
      <w:pPr>
        <w:ind w:firstLine="0"/>
        <w:jc w:val="both"/>
        <w:rPr>
          <w:rFonts w:eastAsia="Times New Roman" w:cs="Times New Roman"/>
          <w:szCs w:val="24"/>
        </w:rPr>
      </w:pPr>
      <w:r>
        <w:rPr>
          <w:rFonts w:eastAsia="Times New Roman" w:cs="Times New Roman"/>
          <w:szCs w:val="24"/>
        </w:rPr>
        <w:t xml:space="preserve">Il s’agit en premier lieu d’appréhender les apports de l’anthropologue à l’analyse économique. </w:t>
      </w:r>
      <w:r w:rsidR="00643946" w:rsidRPr="00643946">
        <w:rPr>
          <w:rFonts w:eastAsia="Times New Roman" w:cs="Times New Roman"/>
          <w:szCs w:val="24"/>
        </w:rPr>
        <w:t>Lévi-Strauss pose la question de la science, de la logique et de la pensée, et élargit considérablement la conception même de science telle qu’Aristote ou Platon l’avaient initiée. Pour lui, la rationalité et la science ne sont pas</w:t>
      </w:r>
      <w:r w:rsidR="000C18F3">
        <w:rPr>
          <w:rFonts w:eastAsia="Times New Roman" w:cs="Times New Roman"/>
          <w:szCs w:val="24"/>
        </w:rPr>
        <w:t xml:space="preserve"> </w:t>
      </w:r>
      <w:r w:rsidR="000C18F3" w:rsidRPr="00CF15A3">
        <w:rPr>
          <w:rFonts w:eastAsia="Times New Roman" w:cs="Times New Roman"/>
          <w:szCs w:val="24"/>
        </w:rPr>
        <w:t xml:space="preserve">réductibles à </w:t>
      </w:r>
      <w:r w:rsidR="00C7129A" w:rsidRPr="00CF15A3">
        <w:rPr>
          <w:rFonts w:eastAsia="Times New Roman" w:cs="Times New Roman"/>
          <w:szCs w:val="24"/>
        </w:rPr>
        <w:t xml:space="preserve">celles produites par </w:t>
      </w:r>
      <w:r w:rsidR="000C18F3" w:rsidRPr="00CF15A3">
        <w:rPr>
          <w:rFonts w:eastAsia="Times New Roman" w:cs="Times New Roman"/>
          <w:szCs w:val="24"/>
        </w:rPr>
        <w:t>l’O</w:t>
      </w:r>
      <w:r w:rsidR="00643946" w:rsidRPr="00CF15A3">
        <w:rPr>
          <w:rFonts w:eastAsia="Times New Roman" w:cs="Times New Roman"/>
          <w:szCs w:val="24"/>
        </w:rPr>
        <w:t>ccident.</w:t>
      </w:r>
    </w:p>
    <w:p w:rsidR="00643946" w:rsidRPr="00643946" w:rsidRDefault="00643946" w:rsidP="00643946">
      <w:pPr>
        <w:jc w:val="both"/>
        <w:rPr>
          <w:rFonts w:eastAsia="Times New Roman" w:cs="Times New Roman"/>
          <w:szCs w:val="24"/>
        </w:rPr>
      </w:pPr>
      <w:r w:rsidRPr="00643946">
        <w:rPr>
          <w:rFonts w:eastAsia="Times New Roman" w:cs="Times New Roman"/>
          <w:szCs w:val="24"/>
        </w:rPr>
        <w:t xml:space="preserve">Ainsi, l’ouvrage débute-t-il par un chapitre consacré à </w:t>
      </w:r>
      <w:r w:rsidRPr="00643946">
        <w:rPr>
          <w:rFonts w:eastAsia="Times New Roman" w:cs="Times New Roman"/>
          <w:i/>
          <w:szCs w:val="24"/>
        </w:rPr>
        <w:t>la science du concret</w:t>
      </w:r>
      <w:r w:rsidRPr="00643946">
        <w:rPr>
          <w:rFonts w:eastAsia="Times New Roman" w:cs="Times New Roman"/>
          <w:szCs w:val="24"/>
        </w:rPr>
        <w:t xml:space="preserve">. L’auteur entend dépasser la </w:t>
      </w:r>
      <w:r w:rsidRPr="00643946">
        <w:rPr>
          <w:rFonts w:eastAsia="Times New Roman" w:cs="Times New Roman"/>
          <w:b/>
          <w:szCs w:val="24"/>
        </w:rPr>
        <w:t>variété culturelle</w:t>
      </w:r>
      <w:r w:rsidRPr="00643946">
        <w:rPr>
          <w:rFonts w:eastAsia="Times New Roman" w:cs="Times New Roman"/>
          <w:szCs w:val="24"/>
        </w:rPr>
        <w:t xml:space="preserve"> afin de révéler des </w:t>
      </w:r>
      <w:r w:rsidRPr="00643946">
        <w:rPr>
          <w:rFonts w:eastAsia="Times New Roman" w:cs="Times New Roman"/>
          <w:b/>
          <w:szCs w:val="24"/>
        </w:rPr>
        <w:t>constantes structurelles</w:t>
      </w:r>
      <w:r w:rsidRPr="00643946">
        <w:rPr>
          <w:rFonts w:eastAsia="Times New Roman" w:cs="Times New Roman"/>
          <w:szCs w:val="24"/>
        </w:rPr>
        <w:t xml:space="preserve"> à l’esprit humain et de montrer l’unité de ce dernier car, pour lui, «  par-delà la diversité empirique des sociétés humaines, l'analyse ethnographique veut atteindre des invariants, dont le présent travail montre qu'ils se situent parfois aux points les plus imprévus » (Lévi-Strauss, 1962, p. 326). Il révèle alors qu’à côté de la pensée occidentale-savante, il existe une pensée primitive, première. L’une n’est pas un préambule à l’autre, elle sert de base à toute pensée ; la pensée occidentale n’apparaît que plus tard car elle est domestiquée. Cependant, ces deux formes de logique </w:t>
      </w:r>
      <w:r w:rsidRPr="00643946">
        <w:rPr>
          <w:rFonts w:eastAsia="Times New Roman" w:cs="Times New Roman"/>
          <w:b/>
          <w:szCs w:val="24"/>
        </w:rPr>
        <w:t>coexistent</w:t>
      </w:r>
      <w:r w:rsidRPr="00643946">
        <w:rPr>
          <w:rFonts w:eastAsia="Times New Roman" w:cs="Times New Roman"/>
          <w:szCs w:val="24"/>
        </w:rPr>
        <w:t xml:space="preserve">, avec leur propre complexité et leurs propres fonctionnements et solutions. La « rationalité » des individus existe dans les deux cas, mais elles sont simplement </w:t>
      </w:r>
      <w:r w:rsidRPr="00643946">
        <w:rPr>
          <w:rFonts w:eastAsia="Times New Roman" w:cs="Times New Roman"/>
          <w:b/>
          <w:szCs w:val="24"/>
        </w:rPr>
        <w:t>différentes</w:t>
      </w:r>
      <w:r w:rsidRPr="00643946">
        <w:rPr>
          <w:rFonts w:eastAsia="Times New Roman" w:cs="Times New Roman"/>
          <w:szCs w:val="24"/>
        </w:rPr>
        <w:t>, sans être nécessairement opposées.</w:t>
      </w:r>
    </w:p>
    <w:p w:rsidR="00643946" w:rsidRPr="00643946" w:rsidRDefault="00643946" w:rsidP="00643946">
      <w:pPr>
        <w:ind w:left="567" w:firstLine="0"/>
        <w:jc w:val="both"/>
        <w:rPr>
          <w:rFonts w:eastAsia="Times New Roman" w:cs="Times New Roman"/>
          <w:sz w:val="22"/>
          <w:szCs w:val="24"/>
        </w:rPr>
      </w:pPr>
      <w:r w:rsidRPr="00643946">
        <w:rPr>
          <w:rFonts w:eastAsia="Times New Roman" w:cs="Times New Roman"/>
          <w:sz w:val="22"/>
          <w:szCs w:val="24"/>
        </w:rPr>
        <w:t>« [C]'est qu'il existe deux modes distincts de pensée scientifique, l'un et l'autre fonction, non pas certes de stades inégaux du développement de l'esprit humain, mais des deux niveaux stratégiques où la nature se laisse attaquer par la connaissance scientifique : l'un approximativement ajusté à celui de la perception et de l'imagination, et l'autre décalé ; [l’un] très proche de l'intuition sensible, l'autre plus éloignée. » (Lévi-Strauss, 1962, p. 24)</w:t>
      </w:r>
    </w:p>
    <w:p w:rsidR="00643946" w:rsidRPr="00643946" w:rsidRDefault="00643946" w:rsidP="00643946">
      <w:pPr>
        <w:jc w:val="both"/>
        <w:rPr>
          <w:rFonts w:eastAsia="Times New Roman" w:cs="Times New Roman"/>
          <w:szCs w:val="24"/>
        </w:rPr>
      </w:pPr>
      <w:r w:rsidRPr="00643946">
        <w:rPr>
          <w:rFonts w:eastAsia="Times New Roman" w:cs="Times New Roman"/>
          <w:szCs w:val="24"/>
        </w:rPr>
        <w:t xml:space="preserve">La pensée première s’inscrit donc dans </w:t>
      </w:r>
      <w:r w:rsidRPr="00643946">
        <w:rPr>
          <w:rFonts w:eastAsia="Times New Roman" w:cs="Times New Roman"/>
          <w:b/>
          <w:szCs w:val="24"/>
        </w:rPr>
        <w:t>le monde sensible</w:t>
      </w:r>
      <w:r w:rsidRPr="00643946">
        <w:rPr>
          <w:rFonts w:eastAsia="Times New Roman" w:cs="Times New Roman"/>
          <w:szCs w:val="24"/>
        </w:rPr>
        <w:t xml:space="preserve">, basée sur l’expérience, « [la] pensée sauvage calcule, non pas avec des données abstraites, mais avec l'enseignement de l'expérience sensible : odeurs, textures, couleurs » (Lévi-Strauss, 1989). </w:t>
      </w:r>
      <w:r w:rsidRPr="00643946">
        <w:rPr>
          <w:rFonts w:cs="Times New Roman"/>
          <w:szCs w:val="24"/>
        </w:rPr>
        <w:t>L</w:t>
      </w:r>
      <w:r w:rsidR="00DD7DA9">
        <w:rPr>
          <w:rFonts w:cs="Times New Roman"/>
          <w:szCs w:val="24"/>
        </w:rPr>
        <w:t>a pensée première ou l</w:t>
      </w:r>
      <w:r w:rsidRPr="00643946">
        <w:rPr>
          <w:rFonts w:cs="Times New Roman"/>
          <w:szCs w:val="24"/>
        </w:rPr>
        <w:t xml:space="preserve">e </w:t>
      </w:r>
      <w:r w:rsidRPr="00643946">
        <w:rPr>
          <w:rFonts w:cs="Times New Roman"/>
          <w:i/>
          <w:szCs w:val="24"/>
        </w:rPr>
        <w:t>bricolage</w:t>
      </w:r>
      <w:r w:rsidRPr="00643946">
        <w:rPr>
          <w:rFonts w:cs="Times New Roman"/>
          <w:szCs w:val="24"/>
        </w:rPr>
        <w:t xml:space="preserve"> suppose u</w:t>
      </w:r>
      <w:r w:rsidRPr="00643946">
        <w:rPr>
          <w:rFonts w:eastAsia="Times New Roman" w:cs="Times New Roman"/>
          <w:szCs w:val="24"/>
        </w:rPr>
        <w:t xml:space="preserve">n mode d’action ancré dans le faire – on peut parler de « mode de faire » – qui s’appuie sur ce rapport physique aux </w:t>
      </w:r>
      <w:r w:rsidR="00CF15A3">
        <w:rPr>
          <w:rFonts w:eastAsia="Times New Roman" w:cs="Times New Roman"/>
          <w:szCs w:val="24"/>
        </w:rPr>
        <w:t>« ‘</w:t>
      </w:r>
      <w:r w:rsidRPr="00643946">
        <w:rPr>
          <w:rFonts w:eastAsia="Times New Roman" w:cs="Times New Roman"/>
          <w:szCs w:val="24"/>
        </w:rPr>
        <w:t>choses</w:t>
      </w:r>
      <w:r w:rsidR="00CF15A3">
        <w:rPr>
          <w:rFonts w:eastAsia="Times New Roman" w:cs="Times New Roman"/>
          <w:szCs w:val="24"/>
        </w:rPr>
        <w:t> » – matérielles et/ou immatérielles</w:t>
      </w:r>
      <w:r w:rsidRPr="00643946">
        <w:rPr>
          <w:rFonts w:eastAsia="Times New Roman" w:cs="Times New Roman"/>
          <w:szCs w:val="24"/>
        </w:rPr>
        <w:t>.</w:t>
      </w:r>
    </w:p>
    <w:p w:rsidR="00643946" w:rsidRPr="00643946" w:rsidRDefault="00643946" w:rsidP="00643946">
      <w:pPr>
        <w:jc w:val="both"/>
        <w:rPr>
          <w:rFonts w:eastAsia="Times New Roman" w:cs="Times New Roman"/>
          <w:szCs w:val="24"/>
        </w:rPr>
      </w:pPr>
      <w:r w:rsidRPr="00643946">
        <w:rPr>
          <w:rFonts w:eastAsia="Times New Roman" w:cs="Times New Roman"/>
          <w:szCs w:val="24"/>
        </w:rPr>
        <w:t xml:space="preserve">Aussi deux sciences, non exclusives, traversent-elles l’humanité. La </w:t>
      </w:r>
      <w:r w:rsidRPr="00643946">
        <w:rPr>
          <w:rFonts w:eastAsia="Times New Roman" w:cs="Times New Roman"/>
          <w:b/>
          <w:szCs w:val="24"/>
        </w:rPr>
        <w:t>science de l’abstrait</w:t>
      </w:r>
      <w:r w:rsidRPr="00643946">
        <w:rPr>
          <w:rFonts w:eastAsia="Times New Roman" w:cs="Times New Roman"/>
          <w:szCs w:val="24"/>
        </w:rPr>
        <w:t>, impliquant la pensée savante, s’applique à manipuler des concepts, des éléments culturels. Elle est relative à des connaissances préétablies en fonction de sa culture ; ici, c’est l’ingénieur qui est en action</w:t>
      </w:r>
      <w:r w:rsidRPr="00643946">
        <w:rPr>
          <w:rFonts w:eastAsia="Times New Roman" w:cs="Times New Roman"/>
          <w:szCs w:val="24"/>
          <w:vertAlign w:val="superscript"/>
        </w:rPr>
        <w:footnoteReference w:id="8"/>
      </w:r>
      <w:r w:rsidRPr="00643946">
        <w:rPr>
          <w:rFonts w:eastAsia="Times New Roman" w:cs="Times New Roman"/>
          <w:szCs w:val="24"/>
        </w:rPr>
        <w:t xml:space="preserve">. La </w:t>
      </w:r>
      <w:r w:rsidRPr="00643946">
        <w:rPr>
          <w:rFonts w:eastAsia="Times New Roman" w:cs="Times New Roman"/>
          <w:b/>
          <w:szCs w:val="24"/>
        </w:rPr>
        <w:t>science du concret</w:t>
      </w:r>
      <w:r w:rsidRPr="00643946">
        <w:rPr>
          <w:rFonts w:eastAsia="Times New Roman" w:cs="Times New Roman"/>
          <w:szCs w:val="24"/>
        </w:rPr>
        <w:t>, impliquant la pensée première, s’applique quant à elle à manipuler des percepts, des signes</w:t>
      </w:r>
      <w:r w:rsidRPr="00643946">
        <w:rPr>
          <w:rFonts w:eastAsia="Times New Roman" w:cs="Times New Roman"/>
          <w:szCs w:val="24"/>
          <w:vertAlign w:val="superscript"/>
        </w:rPr>
        <w:footnoteReference w:id="9"/>
      </w:r>
      <w:r w:rsidRPr="00643946">
        <w:rPr>
          <w:rFonts w:eastAsia="Times New Roman" w:cs="Times New Roman"/>
          <w:szCs w:val="24"/>
        </w:rPr>
        <w:t xml:space="preserve">. </w:t>
      </w:r>
    </w:p>
    <w:p w:rsidR="00643946" w:rsidRPr="00643946" w:rsidRDefault="00643946" w:rsidP="00643946">
      <w:pPr>
        <w:jc w:val="both"/>
        <w:rPr>
          <w:rFonts w:eastAsia="Times New Roman" w:cs="Times New Roman"/>
          <w:szCs w:val="24"/>
        </w:rPr>
      </w:pPr>
      <w:r w:rsidRPr="00643946">
        <w:rPr>
          <w:rFonts w:eastAsia="Times New Roman" w:cs="Times New Roman"/>
          <w:szCs w:val="24"/>
        </w:rPr>
        <w:t xml:space="preserve">De ces sciences, des idéaux-types s’incarnent dans leur appréhension du monde et dans leurs comportements ; Lévi-Strauss avance ainsi les figures de </w:t>
      </w:r>
      <w:r w:rsidRPr="00643946">
        <w:rPr>
          <w:rFonts w:eastAsia="Times New Roman" w:cs="Times New Roman"/>
          <w:b/>
          <w:szCs w:val="24"/>
        </w:rPr>
        <w:t>l’ingénieur</w:t>
      </w:r>
      <w:r w:rsidRPr="00643946">
        <w:rPr>
          <w:rFonts w:eastAsia="Times New Roman" w:cs="Times New Roman"/>
          <w:szCs w:val="24"/>
        </w:rPr>
        <w:t xml:space="preserve"> et celle du </w:t>
      </w:r>
      <w:r w:rsidRPr="00643946">
        <w:rPr>
          <w:rFonts w:eastAsia="Times New Roman" w:cs="Times New Roman"/>
          <w:b/>
          <w:szCs w:val="24"/>
        </w:rPr>
        <w:t>bricoleur</w:t>
      </w:r>
      <w:r w:rsidRPr="00643946">
        <w:rPr>
          <w:rFonts w:eastAsia="Times New Roman" w:cs="Times New Roman"/>
          <w:szCs w:val="24"/>
        </w:rPr>
        <w:t xml:space="preserve">. La première figure constitue </w:t>
      </w:r>
      <w:r w:rsidRPr="00936268">
        <w:rPr>
          <w:rFonts w:eastAsia="Times New Roman" w:cs="Times New Roman"/>
          <w:b/>
          <w:szCs w:val="24"/>
        </w:rPr>
        <w:t>l’acteur économique idéalisé</w:t>
      </w:r>
      <w:r w:rsidRPr="00643946">
        <w:rPr>
          <w:rFonts w:eastAsia="Times New Roman" w:cs="Times New Roman"/>
          <w:szCs w:val="24"/>
        </w:rPr>
        <w:t xml:space="preserve"> </w:t>
      </w:r>
      <w:r w:rsidR="00936268">
        <w:rPr>
          <w:rFonts w:eastAsia="Times New Roman" w:cs="Times New Roman"/>
          <w:szCs w:val="24"/>
        </w:rPr>
        <w:t xml:space="preserve">– essentiellement par les </w:t>
      </w:r>
      <w:r w:rsidR="00DD7DA9">
        <w:rPr>
          <w:rFonts w:eastAsia="Times New Roman" w:cs="Times New Roman"/>
          <w:szCs w:val="24"/>
        </w:rPr>
        <w:t>N</w:t>
      </w:r>
      <w:r w:rsidR="00936268">
        <w:rPr>
          <w:rFonts w:eastAsia="Times New Roman" w:cs="Times New Roman"/>
          <w:szCs w:val="24"/>
        </w:rPr>
        <w:t>éoclassiques</w:t>
      </w:r>
      <w:r w:rsidR="00936268">
        <w:rPr>
          <w:rStyle w:val="FootnoteReference"/>
          <w:rFonts w:eastAsia="Times New Roman" w:cs="Times New Roman"/>
          <w:szCs w:val="24"/>
        </w:rPr>
        <w:footnoteReference w:id="10"/>
      </w:r>
      <w:r w:rsidR="00936268">
        <w:rPr>
          <w:rFonts w:eastAsia="Times New Roman" w:cs="Times New Roman"/>
          <w:szCs w:val="24"/>
        </w:rPr>
        <w:t xml:space="preserve"> – </w:t>
      </w:r>
      <w:r w:rsidR="000C18F3">
        <w:rPr>
          <w:rFonts w:eastAsia="Times New Roman" w:cs="Times New Roman"/>
          <w:szCs w:val="24"/>
        </w:rPr>
        <w:t>en O</w:t>
      </w:r>
      <w:r w:rsidRPr="00643946">
        <w:rPr>
          <w:rFonts w:eastAsia="Times New Roman" w:cs="Times New Roman"/>
          <w:szCs w:val="24"/>
        </w:rPr>
        <w:t xml:space="preserve">ccident alors que la seconde figure constituerait l’acteur économique souvent rencontré dans des pays en développement. Leurs rapports au monde, à l’activité et à la ressource </w:t>
      </w:r>
      <w:r w:rsidR="00936268">
        <w:rPr>
          <w:rFonts w:eastAsia="Times New Roman" w:cs="Times New Roman"/>
          <w:szCs w:val="24"/>
        </w:rPr>
        <w:t xml:space="preserve">– financière – </w:t>
      </w:r>
      <w:r w:rsidRPr="00643946">
        <w:rPr>
          <w:rFonts w:eastAsia="Times New Roman" w:cs="Times New Roman"/>
          <w:szCs w:val="24"/>
        </w:rPr>
        <w:t xml:space="preserve">les différencient fondamentalement, montrant combien ces idéaux-types recouvrent des problématiques </w:t>
      </w:r>
      <w:r w:rsidRPr="00643946">
        <w:rPr>
          <w:rFonts w:eastAsia="Times New Roman" w:cs="Times New Roman"/>
          <w:b/>
          <w:szCs w:val="24"/>
        </w:rPr>
        <w:t>aussi</w:t>
      </w:r>
      <w:r w:rsidRPr="00643946">
        <w:rPr>
          <w:rFonts w:eastAsia="Times New Roman" w:cs="Times New Roman"/>
          <w:szCs w:val="24"/>
        </w:rPr>
        <w:t xml:space="preserve"> économiques et bien qu’issus de l’analyse anthropologique, </w:t>
      </w:r>
      <w:r w:rsidRPr="00643946">
        <w:rPr>
          <w:rFonts w:eastAsia="Times New Roman" w:cs="Times New Roman"/>
          <w:b/>
          <w:szCs w:val="24"/>
        </w:rPr>
        <w:t xml:space="preserve">la transposition de ces deux agents dans un environnement économique </w:t>
      </w:r>
      <w:r w:rsidR="000C18F3">
        <w:rPr>
          <w:rFonts w:eastAsia="Times New Roman" w:cs="Times New Roman"/>
          <w:szCs w:val="24"/>
        </w:rPr>
        <w:t>révèle</w:t>
      </w:r>
      <w:r w:rsidRPr="00643946">
        <w:rPr>
          <w:rFonts w:eastAsia="Times New Roman" w:cs="Times New Roman"/>
          <w:szCs w:val="24"/>
        </w:rPr>
        <w:t xml:space="preserve"> qu’ils mettent en œuvre des logiques de réalisations distinctes avec des intentionnalités distinctes. </w:t>
      </w:r>
    </w:p>
    <w:p w:rsidR="00643946" w:rsidRPr="00643946" w:rsidRDefault="00643946" w:rsidP="00643946">
      <w:pPr>
        <w:jc w:val="both"/>
        <w:rPr>
          <w:rFonts w:eastAsia="Times New Roman" w:cs="Times New Roman"/>
          <w:szCs w:val="24"/>
        </w:rPr>
      </w:pPr>
      <w:r w:rsidRPr="00643946">
        <w:rPr>
          <w:rFonts w:eastAsia="Times New Roman" w:cs="Times New Roman"/>
          <w:szCs w:val="24"/>
        </w:rPr>
        <w:t xml:space="preserve">Précisons maintenant </w:t>
      </w:r>
      <w:r w:rsidRPr="00643946">
        <w:rPr>
          <w:rFonts w:eastAsia="Times New Roman" w:cs="Times New Roman"/>
          <w:b/>
          <w:szCs w:val="24"/>
        </w:rPr>
        <w:t xml:space="preserve">le portrait des deux idéaux-types </w:t>
      </w:r>
      <w:r w:rsidRPr="00643946">
        <w:rPr>
          <w:rFonts w:eastAsia="Times New Roman" w:cs="Times New Roman"/>
          <w:szCs w:val="24"/>
        </w:rPr>
        <w:t xml:space="preserve">que sont le bricoleur et l’ingénieur. Le premier met ainsi en œuvre la science du concret, le second met en œuvre la science de l’abstrait. Sur la base des travaux de R. Nisbett (2003), Duymedjian et Rüling (2010) proposent d’appréhender les caractéristiques de ces figures en articulant les éléments issus de l’observation des pratiques, soit l’analyse des </w:t>
      </w:r>
      <w:r w:rsidRPr="00643946">
        <w:rPr>
          <w:rFonts w:eastAsia="Times New Roman" w:cs="Times New Roman"/>
          <w:b/>
          <w:szCs w:val="24"/>
        </w:rPr>
        <w:t>pratiques elles-mêmes</w:t>
      </w:r>
      <w:r w:rsidRPr="00643946">
        <w:rPr>
          <w:rFonts w:eastAsia="Times New Roman" w:cs="Times New Roman"/>
          <w:szCs w:val="24"/>
        </w:rPr>
        <w:t>, celle de l’</w:t>
      </w:r>
      <w:r w:rsidRPr="00643946">
        <w:rPr>
          <w:rFonts w:eastAsia="Times New Roman" w:cs="Times New Roman"/>
          <w:b/>
          <w:szCs w:val="24"/>
        </w:rPr>
        <w:t>épistémologie</w:t>
      </w:r>
      <w:r w:rsidRPr="00643946">
        <w:rPr>
          <w:rFonts w:eastAsia="Times New Roman" w:cs="Times New Roman"/>
          <w:szCs w:val="24"/>
        </w:rPr>
        <w:t xml:space="preserve"> et celle de la </w:t>
      </w:r>
      <w:r w:rsidRPr="00643946">
        <w:rPr>
          <w:rFonts w:eastAsia="Times New Roman" w:cs="Times New Roman"/>
          <w:b/>
          <w:szCs w:val="24"/>
        </w:rPr>
        <w:t>métaphysique</w:t>
      </w:r>
      <w:r w:rsidRPr="00643946">
        <w:rPr>
          <w:rFonts w:eastAsia="Times New Roman" w:cs="Times New Roman"/>
          <w:szCs w:val="24"/>
        </w:rPr>
        <w:t xml:space="preserve">. </w:t>
      </w:r>
    </w:p>
    <w:p w:rsidR="00643946" w:rsidRPr="00CF15A3" w:rsidRDefault="00643946" w:rsidP="00643946">
      <w:pPr>
        <w:jc w:val="both"/>
        <w:rPr>
          <w:rFonts w:eastAsia="Times New Roman" w:cs="Times New Roman"/>
          <w:szCs w:val="24"/>
        </w:rPr>
      </w:pPr>
      <w:r w:rsidRPr="00643946">
        <w:rPr>
          <w:rFonts w:eastAsia="Times New Roman" w:cs="Times New Roman"/>
          <w:szCs w:val="24"/>
        </w:rPr>
        <w:t xml:space="preserve">Concernant les pratiques elles-mêmes, le premier geste du bricoleur consiste à collecter des « ressources », objets matériels, idées, connaissances diverses, au gré de rencontres non planifiées, et qui constitueront son stock, sur la base du simple principe que « ça peut toujours servir ». Et bien que pour l’ingénieur, </w:t>
      </w:r>
      <w:r w:rsidRPr="00643946">
        <w:rPr>
          <w:rFonts w:eastAsia="Times New Roman" w:cs="Times New Roman"/>
          <w:i/>
          <w:szCs w:val="24"/>
        </w:rPr>
        <w:t>« </w:t>
      </w:r>
      <w:r w:rsidRPr="00643946">
        <w:rPr>
          <w:rFonts w:eastAsia="Times New Roman" w:cs="Times New Roman"/>
          <w:szCs w:val="24"/>
        </w:rPr>
        <w:t>[on] pourrait être tenté de dire qu'il interroge l'univers</w:t>
      </w:r>
      <w:r w:rsidRPr="00643946">
        <w:rPr>
          <w:rFonts w:eastAsia="Times New Roman" w:cs="Times New Roman"/>
          <w:i/>
          <w:szCs w:val="24"/>
        </w:rPr>
        <w:t> »</w:t>
      </w:r>
      <w:r w:rsidRPr="00643946">
        <w:rPr>
          <w:rFonts w:eastAsia="Times New Roman" w:cs="Times New Roman"/>
          <w:szCs w:val="24"/>
        </w:rPr>
        <w:t xml:space="preserve"> (Lévi-Strauss, 1962, p. 29), le bricoleur engage pour sa part un </w:t>
      </w:r>
      <w:r w:rsidRPr="00643946">
        <w:rPr>
          <w:rFonts w:eastAsia="Times New Roman" w:cs="Times New Roman"/>
          <w:b/>
          <w:szCs w:val="24"/>
        </w:rPr>
        <w:t>dialogue</w:t>
      </w:r>
      <w:r w:rsidRPr="00643946">
        <w:rPr>
          <w:rFonts w:eastAsia="Times New Roman" w:cs="Times New Roman"/>
          <w:szCs w:val="24"/>
        </w:rPr>
        <w:t xml:space="preserve"> avec les éléments de </w:t>
      </w:r>
      <w:r w:rsidRPr="00643946">
        <w:rPr>
          <w:rFonts w:eastAsia="Times New Roman" w:cs="Times New Roman"/>
          <w:b/>
          <w:szCs w:val="24"/>
        </w:rPr>
        <w:t>son stock</w:t>
      </w:r>
      <w:r w:rsidRPr="00643946">
        <w:rPr>
          <w:rFonts w:eastAsia="Times New Roman" w:cs="Times New Roman"/>
          <w:szCs w:val="24"/>
        </w:rPr>
        <w:t xml:space="preserve">. Ce dialogue vise à trouver les éléments qui, agencés les uns les autres, permettent d'obtenir un dispositif – un bricolage – adéquat. </w:t>
      </w:r>
      <w:r w:rsidR="00066D81">
        <w:rPr>
          <w:rFonts w:eastAsia="Times New Roman" w:cs="Times New Roman"/>
          <w:szCs w:val="24"/>
        </w:rPr>
        <w:t xml:space="preserve">Cette pratique nécessite et révèle une grande </w:t>
      </w:r>
      <w:r w:rsidR="00025C3B" w:rsidRPr="00025C3B">
        <w:rPr>
          <w:rFonts w:eastAsia="Times New Roman" w:cs="Times New Roman"/>
          <w:b/>
          <w:szCs w:val="24"/>
        </w:rPr>
        <w:t>familiarité</w:t>
      </w:r>
      <w:r w:rsidR="00025C3B">
        <w:rPr>
          <w:rFonts w:eastAsia="Times New Roman" w:cs="Times New Roman"/>
          <w:szCs w:val="24"/>
        </w:rPr>
        <w:t xml:space="preserve"> – </w:t>
      </w:r>
      <w:r w:rsidR="00025C3B" w:rsidRPr="00CF15A3">
        <w:rPr>
          <w:rFonts w:eastAsia="Times New Roman" w:cs="Times New Roman"/>
          <w:szCs w:val="24"/>
        </w:rPr>
        <w:t>telle que nous l’avons défini</w:t>
      </w:r>
      <w:r w:rsidR="00E11676">
        <w:rPr>
          <w:rFonts w:eastAsia="Times New Roman" w:cs="Times New Roman"/>
          <w:szCs w:val="24"/>
        </w:rPr>
        <w:t>e</w:t>
      </w:r>
      <w:r w:rsidR="00025C3B" w:rsidRPr="00CF15A3">
        <w:rPr>
          <w:rFonts w:eastAsia="Times New Roman" w:cs="Times New Roman"/>
          <w:szCs w:val="24"/>
        </w:rPr>
        <w:t xml:space="preserve"> plus haut – et </w:t>
      </w:r>
      <w:r w:rsidR="00066D81" w:rsidRPr="00CF15A3">
        <w:rPr>
          <w:rFonts w:eastAsia="Times New Roman" w:cs="Times New Roman"/>
          <w:b/>
          <w:szCs w:val="24"/>
        </w:rPr>
        <w:t>proximité</w:t>
      </w:r>
      <w:r w:rsidR="00066D81" w:rsidRPr="00CF15A3">
        <w:rPr>
          <w:rFonts w:eastAsia="Times New Roman" w:cs="Times New Roman"/>
          <w:szCs w:val="24"/>
        </w:rPr>
        <w:t xml:space="preserve"> avec les ressources et plus globalement avec le monde.</w:t>
      </w:r>
      <w:r w:rsidR="00025C3B" w:rsidRPr="00CF15A3">
        <w:rPr>
          <w:rFonts w:eastAsia="Times New Roman" w:cs="Times New Roman"/>
          <w:szCs w:val="24"/>
        </w:rPr>
        <w:t xml:space="preserve"> Or, nous verrons plus loin qu’il en est de même avec le financement.</w:t>
      </w:r>
    </w:p>
    <w:p w:rsidR="00643946" w:rsidRPr="00643946" w:rsidRDefault="00643946" w:rsidP="00643946">
      <w:pPr>
        <w:jc w:val="both"/>
        <w:rPr>
          <w:rFonts w:eastAsia="Times New Roman" w:cs="Times New Roman"/>
          <w:szCs w:val="24"/>
        </w:rPr>
      </w:pPr>
      <w:r w:rsidRPr="00CF15A3">
        <w:rPr>
          <w:rFonts w:eastAsia="Times New Roman" w:cs="Times New Roman"/>
          <w:szCs w:val="24"/>
        </w:rPr>
        <w:t xml:space="preserve">Les pratiques du bricoleur révèlent donc </w:t>
      </w:r>
      <w:r w:rsidRPr="00CF15A3">
        <w:rPr>
          <w:rFonts w:eastAsia="Times New Roman" w:cs="Times New Roman"/>
          <w:b/>
          <w:szCs w:val="24"/>
        </w:rPr>
        <w:t>un certain type de connaissances en œuvre</w:t>
      </w:r>
      <w:r w:rsidRPr="00CF15A3">
        <w:rPr>
          <w:rFonts w:eastAsia="Times New Roman" w:cs="Times New Roman"/>
          <w:szCs w:val="24"/>
        </w:rPr>
        <w:t xml:space="preserve">, une </w:t>
      </w:r>
      <w:r w:rsidRPr="00CF15A3">
        <w:rPr>
          <w:rFonts w:eastAsia="Times New Roman" w:cs="Times New Roman"/>
          <w:b/>
          <w:szCs w:val="24"/>
        </w:rPr>
        <w:t>épistémologie</w:t>
      </w:r>
      <w:r w:rsidRPr="00CF15A3">
        <w:rPr>
          <w:rFonts w:eastAsia="Times New Roman" w:cs="Times New Roman"/>
          <w:szCs w:val="24"/>
        </w:rPr>
        <w:t xml:space="preserve">. Il s’intéresse autant aux qualités premières et secondes des éléments à assembler. Pour cela, il entretient un rapport d'intimité avec les éléments de son stock. Cette intimité n'est pas fondée sur une connaissance approfondie, exhaustive de ce que sont les choses, mais plutôt de leur capacité à se lier entre elles, de leur connectivité virtuelle, ainsi que de leur ressemblance. Il doit être alors peu sensible au biais cognitif de fixité fonctionnelle. </w:t>
      </w:r>
      <w:r w:rsidR="00DD7DA9">
        <w:rPr>
          <w:rFonts w:eastAsia="Times New Roman" w:cs="Times New Roman"/>
          <w:szCs w:val="24"/>
        </w:rPr>
        <w:t>Par exemple</w:t>
      </w:r>
      <w:r w:rsidR="00CF15A3" w:rsidRPr="00CF15A3">
        <w:rPr>
          <w:rFonts w:eastAsia="Times New Roman" w:cs="Times New Roman"/>
          <w:szCs w:val="24"/>
        </w:rPr>
        <w:t>, les O</w:t>
      </w:r>
      <w:r w:rsidR="00025C3B" w:rsidRPr="00CF15A3">
        <w:rPr>
          <w:rFonts w:eastAsia="Times New Roman" w:cs="Times New Roman"/>
          <w:szCs w:val="24"/>
        </w:rPr>
        <w:t xml:space="preserve">ccidentaux s’étonnent des </w:t>
      </w:r>
      <w:r w:rsidR="00D36B8A" w:rsidRPr="00CF15A3">
        <w:rPr>
          <w:rFonts w:eastAsia="Times New Roman" w:cs="Times New Roman"/>
          <w:szCs w:val="24"/>
        </w:rPr>
        <w:t xml:space="preserve">réusages inattendus </w:t>
      </w:r>
      <w:r w:rsidR="00025C3B" w:rsidRPr="00CF15A3">
        <w:rPr>
          <w:rFonts w:eastAsia="Times New Roman" w:cs="Times New Roman"/>
          <w:szCs w:val="24"/>
        </w:rPr>
        <w:t xml:space="preserve">opérés dans les PVD comme </w:t>
      </w:r>
      <w:r w:rsidRPr="00CF15A3">
        <w:rPr>
          <w:rFonts w:eastAsia="Times New Roman" w:cs="Times New Roman"/>
          <w:szCs w:val="24"/>
        </w:rPr>
        <w:t xml:space="preserve">l’assemblage de pneus pour fabriquer des chaussures </w:t>
      </w:r>
      <w:r w:rsidR="00025C3B" w:rsidRPr="00CF15A3">
        <w:rPr>
          <w:rFonts w:eastAsia="Times New Roman" w:cs="Times New Roman"/>
          <w:szCs w:val="24"/>
        </w:rPr>
        <w:t>ou</w:t>
      </w:r>
      <w:r w:rsidRPr="00CF15A3">
        <w:rPr>
          <w:rFonts w:eastAsia="Times New Roman" w:cs="Times New Roman"/>
          <w:szCs w:val="24"/>
        </w:rPr>
        <w:t xml:space="preserve"> l’utilisation de canettes pour fabriquer des jouets.</w:t>
      </w:r>
      <w:r w:rsidR="00066D81" w:rsidRPr="00CF15A3">
        <w:rPr>
          <w:rFonts w:eastAsia="Times New Roman" w:cs="Times New Roman"/>
          <w:szCs w:val="24"/>
        </w:rPr>
        <w:t xml:space="preserve"> De fait et plus largement</w:t>
      </w:r>
      <w:r w:rsidR="00066D81">
        <w:rPr>
          <w:rFonts w:eastAsia="Times New Roman" w:cs="Times New Roman"/>
          <w:szCs w:val="24"/>
        </w:rPr>
        <w:t xml:space="preserve">, le bricoleur montre une certaine </w:t>
      </w:r>
      <w:r w:rsidR="00066D81" w:rsidRPr="00D15DF6">
        <w:rPr>
          <w:rFonts w:eastAsia="Times New Roman" w:cs="Times New Roman"/>
          <w:b/>
          <w:szCs w:val="24"/>
        </w:rPr>
        <w:t>polyvalence</w:t>
      </w:r>
      <w:r w:rsidR="00066D81">
        <w:rPr>
          <w:rFonts w:eastAsia="Times New Roman" w:cs="Times New Roman"/>
          <w:szCs w:val="24"/>
        </w:rPr>
        <w:t xml:space="preserve"> car il est</w:t>
      </w:r>
      <w:r w:rsidR="00066D81" w:rsidRPr="00066D81">
        <w:rPr>
          <w:rFonts w:eastAsia="Times New Roman" w:cs="Times New Roman"/>
          <w:szCs w:val="24"/>
        </w:rPr>
        <w:t xml:space="preserve"> « apte à exécuter un grand nombre de tâches diversifiées » et qu'il « n’a pas besoin de l’équipement et du savoir de tous les corps d’état » (Lévi-Strauss, 1962, p. 31).</w:t>
      </w:r>
      <w:r w:rsidR="004C000E">
        <w:rPr>
          <w:rFonts w:eastAsia="Times New Roman" w:cs="Times New Roman"/>
          <w:szCs w:val="24"/>
        </w:rPr>
        <w:t xml:space="preserve"> Nous verrons encore une fois</w:t>
      </w:r>
      <w:r w:rsidR="00066D81">
        <w:rPr>
          <w:rFonts w:eastAsia="Times New Roman" w:cs="Times New Roman"/>
          <w:szCs w:val="24"/>
        </w:rPr>
        <w:t xml:space="preserve"> que cette polyvalence </w:t>
      </w:r>
      <w:r w:rsidR="00066D81" w:rsidRPr="00DD7DA9">
        <w:rPr>
          <w:rFonts w:eastAsia="Times New Roman" w:cs="Times New Roman"/>
          <w:szCs w:val="24"/>
        </w:rPr>
        <w:t xml:space="preserve">n’est pas </w:t>
      </w:r>
      <w:r w:rsidR="00E11676" w:rsidRPr="00DD7DA9">
        <w:rPr>
          <w:rFonts w:eastAsia="Times New Roman" w:cs="Times New Roman"/>
          <w:szCs w:val="24"/>
        </w:rPr>
        <w:t xml:space="preserve">sans </w:t>
      </w:r>
      <w:r w:rsidR="00066D81" w:rsidRPr="00DD7DA9">
        <w:rPr>
          <w:rFonts w:eastAsia="Times New Roman" w:cs="Times New Roman"/>
          <w:szCs w:val="24"/>
        </w:rPr>
        <w:t xml:space="preserve">conséquence </w:t>
      </w:r>
      <w:r w:rsidR="00066D81">
        <w:rPr>
          <w:rFonts w:eastAsia="Times New Roman" w:cs="Times New Roman"/>
          <w:szCs w:val="24"/>
        </w:rPr>
        <w:t>pour l’analyse économique.</w:t>
      </w:r>
    </w:p>
    <w:p w:rsidR="00D15DF6" w:rsidRDefault="00643946" w:rsidP="00CF15A3">
      <w:pPr>
        <w:jc w:val="both"/>
        <w:rPr>
          <w:rFonts w:eastAsia="Times New Roman" w:cs="Times New Roman"/>
          <w:szCs w:val="24"/>
        </w:rPr>
      </w:pPr>
      <w:r w:rsidRPr="00643946">
        <w:rPr>
          <w:rFonts w:eastAsia="Times New Roman" w:cs="Times New Roman"/>
          <w:szCs w:val="24"/>
        </w:rPr>
        <w:t xml:space="preserve">Quelle est alors sa vision du monde, sa </w:t>
      </w:r>
      <w:r w:rsidRPr="00643946">
        <w:rPr>
          <w:rFonts w:eastAsia="Times New Roman" w:cs="Times New Roman"/>
          <w:b/>
          <w:szCs w:val="24"/>
        </w:rPr>
        <w:t>métaphysique</w:t>
      </w:r>
      <w:r w:rsidRPr="00643946">
        <w:rPr>
          <w:rFonts w:eastAsia="Times New Roman" w:cs="Times New Roman"/>
          <w:szCs w:val="24"/>
        </w:rPr>
        <w:t> ? Le monde du bricoleur est complexe, perçu comme un système d'éléments interconnectés où tout est virtuellement reliable à tout : idées, êtres vivants comme objets inanimés, lieux, etc</w:t>
      </w:r>
      <w:r w:rsidR="00D15DF6">
        <w:rPr>
          <w:rFonts w:eastAsia="Times New Roman" w:cs="Times New Roman"/>
          <w:szCs w:val="24"/>
        </w:rPr>
        <w:t xml:space="preserve"> ; ici, la </w:t>
      </w:r>
      <w:r w:rsidR="00D15DF6" w:rsidRPr="00CF15A3">
        <w:rPr>
          <w:rFonts w:eastAsia="Times New Roman" w:cs="Times New Roman"/>
          <w:b/>
          <w:szCs w:val="24"/>
        </w:rPr>
        <w:t>proximité</w:t>
      </w:r>
      <w:r w:rsidR="00D15DF6">
        <w:rPr>
          <w:rFonts w:eastAsia="Times New Roman" w:cs="Times New Roman"/>
          <w:szCs w:val="24"/>
        </w:rPr>
        <w:t xml:space="preserve"> est bien entendu fondamentale pour établir des </w:t>
      </w:r>
      <w:r w:rsidR="00D15DF6" w:rsidRPr="00CF15A3">
        <w:rPr>
          <w:rFonts w:eastAsia="Times New Roman" w:cs="Times New Roman"/>
          <w:szCs w:val="24"/>
        </w:rPr>
        <w:t>connections</w:t>
      </w:r>
      <w:r w:rsidR="004C000E" w:rsidRPr="00CF15A3">
        <w:rPr>
          <w:rFonts w:eastAsia="Times New Roman" w:cs="Times New Roman"/>
          <w:szCs w:val="24"/>
        </w:rPr>
        <w:t xml:space="preserve"> – elle suppose intimité, expérience, attachement, lien et fréquence</w:t>
      </w:r>
      <w:r w:rsidR="00CF15A3">
        <w:rPr>
          <w:rStyle w:val="FootnoteReference"/>
          <w:rFonts w:eastAsia="Times New Roman" w:cs="Times New Roman"/>
          <w:szCs w:val="24"/>
        </w:rPr>
        <w:footnoteReference w:id="11"/>
      </w:r>
      <w:r w:rsidRPr="00CF15A3">
        <w:rPr>
          <w:rFonts w:eastAsia="Times New Roman" w:cs="Times New Roman"/>
          <w:szCs w:val="24"/>
        </w:rPr>
        <w:t>. Cette complexité im</w:t>
      </w:r>
      <w:r w:rsidRPr="00643946">
        <w:rPr>
          <w:rFonts w:eastAsia="Times New Roman" w:cs="Times New Roman"/>
          <w:szCs w:val="24"/>
        </w:rPr>
        <w:t xml:space="preserve">plique que « tout vaut », que chaque « chose » mérite considération, attention. Le monde du bricoleur peut être considéré comme fermé au sens où notre bricoleur </w:t>
      </w:r>
      <w:r w:rsidRPr="00643946">
        <w:rPr>
          <w:rFonts w:eastAsia="Times New Roman" w:cs="Times New Roman"/>
          <w:b/>
          <w:szCs w:val="24"/>
        </w:rPr>
        <w:t>fait toujours « avec »</w:t>
      </w:r>
      <w:r w:rsidRPr="00643946">
        <w:rPr>
          <w:rFonts w:eastAsia="Times New Roman" w:cs="Times New Roman"/>
          <w:szCs w:val="24"/>
        </w:rPr>
        <w:t xml:space="preserve">, sans chercher à aller au-delà de son stock. Or, « l'ingénieur cherche toujours à s'ouvrir un passage et à se situer au-delà, tandis que </w:t>
      </w:r>
      <w:r w:rsidRPr="00CF15A3">
        <w:rPr>
          <w:rFonts w:eastAsia="Times New Roman" w:cs="Times New Roman"/>
          <w:szCs w:val="24"/>
        </w:rPr>
        <w:t>le bricoleur, de gré ou de force, demeure en deçà » (Lévi-Strauss, 1962, p. 30).</w:t>
      </w:r>
      <w:r w:rsidR="004C000E" w:rsidRPr="00CF15A3">
        <w:rPr>
          <w:rFonts w:eastAsia="Times New Roman" w:cs="Times New Roman"/>
          <w:szCs w:val="24"/>
        </w:rPr>
        <w:t xml:space="preserve"> Le rapport à l’activité économi</w:t>
      </w:r>
      <w:r w:rsidR="00DD7DA9">
        <w:rPr>
          <w:rFonts w:eastAsia="Times New Roman" w:cs="Times New Roman"/>
          <w:szCs w:val="24"/>
        </w:rPr>
        <w:t xml:space="preserve">que s’en trouve bouleversé : il </w:t>
      </w:r>
      <w:r w:rsidR="004C000E" w:rsidRPr="00CF15A3">
        <w:rPr>
          <w:rFonts w:eastAsia="Times New Roman" w:cs="Times New Roman"/>
          <w:szCs w:val="24"/>
        </w:rPr>
        <w:t xml:space="preserve">est par nature complexe, faite de connexions multiples et changeantes et se construit </w:t>
      </w:r>
      <w:r w:rsidR="00AF4775" w:rsidRPr="00CF15A3">
        <w:rPr>
          <w:rFonts w:eastAsia="Times New Roman" w:cs="Times New Roman"/>
          <w:szCs w:val="24"/>
        </w:rPr>
        <w:t xml:space="preserve">d’abord par la combinaison d’éléments existants, le recours à de nouveaux éléments n’étant qu’une solution </w:t>
      </w:r>
      <w:r w:rsidR="00AF4775" w:rsidRPr="00CF15A3">
        <w:rPr>
          <w:rFonts w:eastAsia="Times New Roman" w:cs="Times New Roman"/>
          <w:i/>
          <w:szCs w:val="24"/>
        </w:rPr>
        <w:t>a posteriori</w:t>
      </w:r>
      <w:r w:rsidR="00AF4775" w:rsidRPr="00CF15A3">
        <w:rPr>
          <w:rFonts w:eastAsia="Times New Roman" w:cs="Times New Roman"/>
          <w:szCs w:val="24"/>
        </w:rPr>
        <w:t>.</w:t>
      </w:r>
    </w:p>
    <w:p w:rsidR="007B2185" w:rsidRDefault="007B2185" w:rsidP="00CF15A3">
      <w:pPr>
        <w:jc w:val="both"/>
        <w:rPr>
          <w:rFonts w:eastAsia="Times New Roman" w:cs="Times New Roman"/>
          <w:szCs w:val="24"/>
        </w:rPr>
      </w:pPr>
    </w:p>
    <w:p w:rsidR="007B2185" w:rsidRDefault="007B2185" w:rsidP="00CF15A3">
      <w:pPr>
        <w:jc w:val="both"/>
        <w:rPr>
          <w:rFonts w:eastAsia="Times New Roman" w:cs="Times New Roman"/>
          <w:szCs w:val="24"/>
        </w:rPr>
      </w:pPr>
    </w:p>
    <w:p w:rsidR="007B2185" w:rsidRDefault="007B2185" w:rsidP="00CF15A3">
      <w:pPr>
        <w:jc w:val="both"/>
        <w:rPr>
          <w:rFonts w:eastAsia="Times New Roman" w:cs="Times New Roman"/>
          <w:szCs w:val="24"/>
        </w:rPr>
      </w:pPr>
    </w:p>
    <w:p w:rsidR="007B2185" w:rsidRPr="00CF15A3" w:rsidRDefault="007B2185" w:rsidP="00CF15A3">
      <w:pPr>
        <w:jc w:val="both"/>
        <w:rPr>
          <w:rFonts w:eastAsia="Times New Roman" w:cs="Times New Roman"/>
          <w:szCs w:val="24"/>
        </w:rPr>
      </w:pPr>
    </w:p>
    <w:p w:rsidR="00643946" w:rsidRPr="00643946" w:rsidRDefault="00643946" w:rsidP="00643946">
      <w:pPr>
        <w:spacing w:line="240" w:lineRule="auto"/>
        <w:ind w:firstLine="0"/>
        <w:jc w:val="center"/>
        <w:rPr>
          <w:rFonts w:eastAsia="Times New Roman" w:cs="Times New Roman"/>
          <w:b/>
          <w:szCs w:val="24"/>
        </w:rPr>
      </w:pPr>
      <w:r w:rsidRPr="00643946">
        <w:rPr>
          <w:rFonts w:eastAsia="Times New Roman" w:cs="Times New Roman"/>
          <w:b/>
          <w:szCs w:val="24"/>
        </w:rPr>
        <w:t>Tableau n°1</w:t>
      </w:r>
    </w:p>
    <w:p w:rsidR="00643946" w:rsidRPr="00643946" w:rsidRDefault="00643946" w:rsidP="00643946">
      <w:pPr>
        <w:spacing w:line="240" w:lineRule="auto"/>
        <w:ind w:firstLine="0"/>
        <w:jc w:val="center"/>
        <w:rPr>
          <w:rFonts w:eastAsia="Times New Roman" w:cs="Times New Roman"/>
          <w:b/>
          <w:szCs w:val="24"/>
        </w:rPr>
      </w:pPr>
      <w:r w:rsidRPr="00643946">
        <w:rPr>
          <w:rFonts w:eastAsia="Times New Roman" w:cs="Times New Roman"/>
          <w:b/>
          <w:szCs w:val="24"/>
        </w:rPr>
        <w:t>Les idéaux-types de l’ingénieur et du bricoleur</w:t>
      </w:r>
    </w:p>
    <w:tbl>
      <w:tblPr>
        <w:tblStyle w:val="Grilledutableau1"/>
        <w:tblW w:w="9322" w:type="dxa"/>
        <w:tblCellMar>
          <w:top w:w="57" w:type="dxa"/>
          <w:bottom w:w="57" w:type="dxa"/>
        </w:tblCellMar>
        <w:tblLook w:val="01E0" w:firstRow="1" w:lastRow="1" w:firstColumn="1" w:lastColumn="1" w:noHBand="0" w:noVBand="0"/>
      </w:tblPr>
      <w:tblGrid>
        <w:gridCol w:w="1548"/>
        <w:gridCol w:w="3780"/>
        <w:gridCol w:w="3994"/>
      </w:tblGrid>
      <w:tr w:rsidR="00643946" w:rsidRPr="00643946" w:rsidTr="0007429E">
        <w:tc>
          <w:tcPr>
            <w:tcW w:w="1548" w:type="dxa"/>
            <w:vAlign w:val="center"/>
          </w:tcPr>
          <w:p w:rsidR="00643946" w:rsidRPr="00643946" w:rsidRDefault="00643946" w:rsidP="00643946">
            <w:pPr>
              <w:spacing w:before="100" w:beforeAutospacing="1" w:after="100" w:afterAutospacing="1" w:line="240" w:lineRule="auto"/>
              <w:ind w:firstLine="0"/>
              <w:jc w:val="center"/>
              <w:rPr>
                <w:b/>
                <w:sz w:val="20"/>
              </w:rPr>
            </w:pPr>
          </w:p>
        </w:tc>
        <w:tc>
          <w:tcPr>
            <w:tcW w:w="3780" w:type="dxa"/>
            <w:vAlign w:val="center"/>
          </w:tcPr>
          <w:p w:rsidR="00643946" w:rsidRPr="00643946" w:rsidRDefault="00643946" w:rsidP="00643946">
            <w:pPr>
              <w:spacing w:before="100" w:beforeAutospacing="1" w:after="100" w:afterAutospacing="1" w:line="240" w:lineRule="auto"/>
              <w:ind w:firstLine="0"/>
              <w:jc w:val="center"/>
              <w:rPr>
                <w:b/>
                <w:sz w:val="20"/>
              </w:rPr>
            </w:pPr>
            <w:r w:rsidRPr="00643946">
              <w:rPr>
                <w:b/>
                <w:sz w:val="20"/>
              </w:rPr>
              <w:t>Bricoleur</w:t>
            </w:r>
          </w:p>
        </w:tc>
        <w:tc>
          <w:tcPr>
            <w:tcW w:w="3994" w:type="dxa"/>
            <w:vAlign w:val="center"/>
          </w:tcPr>
          <w:p w:rsidR="00643946" w:rsidRPr="00643946" w:rsidRDefault="00643946" w:rsidP="00643946">
            <w:pPr>
              <w:spacing w:before="100" w:beforeAutospacing="1" w:after="100" w:afterAutospacing="1" w:line="240" w:lineRule="auto"/>
              <w:ind w:firstLine="0"/>
              <w:jc w:val="center"/>
              <w:rPr>
                <w:b/>
                <w:sz w:val="20"/>
              </w:rPr>
            </w:pPr>
            <w:r w:rsidRPr="00643946">
              <w:rPr>
                <w:b/>
                <w:sz w:val="20"/>
              </w:rPr>
              <w:t>Ingénieur</w:t>
            </w:r>
          </w:p>
        </w:tc>
      </w:tr>
      <w:tr w:rsidR="00643946" w:rsidRPr="00643946" w:rsidTr="0007429E">
        <w:tc>
          <w:tcPr>
            <w:tcW w:w="1548" w:type="dxa"/>
            <w:vAlign w:val="center"/>
          </w:tcPr>
          <w:p w:rsidR="00643946" w:rsidRPr="00643946" w:rsidRDefault="00643946" w:rsidP="00643946">
            <w:pPr>
              <w:spacing w:after="0" w:line="240" w:lineRule="auto"/>
              <w:ind w:firstLine="0"/>
              <w:jc w:val="right"/>
              <w:rPr>
                <w:b/>
                <w:sz w:val="20"/>
              </w:rPr>
            </w:pPr>
            <w:r w:rsidRPr="00643946">
              <w:rPr>
                <w:b/>
                <w:sz w:val="20"/>
              </w:rPr>
              <w:t>Métaphysique</w:t>
            </w:r>
          </w:p>
        </w:tc>
        <w:tc>
          <w:tcPr>
            <w:tcW w:w="3780" w:type="dxa"/>
            <w:vAlign w:val="center"/>
          </w:tcPr>
          <w:p w:rsidR="00643946" w:rsidRPr="00643946" w:rsidRDefault="00643946" w:rsidP="00643946">
            <w:pPr>
              <w:spacing w:after="0" w:line="240" w:lineRule="auto"/>
              <w:ind w:firstLine="0"/>
              <w:rPr>
                <w:sz w:val="20"/>
              </w:rPr>
            </w:pPr>
            <w:r w:rsidRPr="00643946">
              <w:rPr>
                <w:sz w:val="20"/>
              </w:rPr>
              <w:t>« Tout vaut »</w:t>
            </w:r>
          </w:p>
          <w:p w:rsidR="00643946" w:rsidRPr="00643946" w:rsidRDefault="00643946" w:rsidP="00643946">
            <w:pPr>
              <w:spacing w:after="0" w:line="240" w:lineRule="auto"/>
              <w:ind w:firstLine="0"/>
              <w:rPr>
                <w:sz w:val="20"/>
              </w:rPr>
            </w:pPr>
            <w:r w:rsidRPr="00643946">
              <w:rPr>
                <w:sz w:val="20"/>
              </w:rPr>
              <w:t xml:space="preserve">Monde comme système </w:t>
            </w:r>
            <w:r w:rsidRPr="00B52177">
              <w:rPr>
                <w:b/>
                <w:sz w:val="20"/>
              </w:rPr>
              <w:t>complexe</w:t>
            </w:r>
            <w:r w:rsidRPr="00643946">
              <w:rPr>
                <w:sz w:val="20"/>
              </w:rPr>
              <w:t xml:space="preserve"> </w:t>
            </w:r>
          </w:p>
          <w:p w:rsidR="00643946" w:rsidRPr="00643946" w:rsidRDefault="00643946" w:rsidP="00643946">
            <w:pPr>
              <w:spacing w:after="0" w:line="240" w:lineRule="auto"/>
              <w:ind w:firstLine="0"/>
              <w:rPr>
                <w:sz w:val="20"/>
              </w:rPr>
            </w:pPr>
            <w:r w:rsidRPr="00643946">
              <w:rPr>
                <w:sz w:val="20"/>
              </w:rPr>
              <w:t>Monde fermé</w:t>
            </w:r>
          </w:p>
          <w:p w:rsidR="00643946" w:rsidRPr="00643946" w:rsidRDefault="00643946" w:rsidP="00643946">
            <w:pPr>
              <w:spacing w:after="0" w:line="240" w:lineRule="auto"/>
              <w:ind w:firstLine="0"/>
              <w:rPr>
                <w:sz w:val="20"/>
              </w:rPr>
            </w:pPr>
            <w:r w:rsidRPr="00643946">
              <w:rPr>
                <w:sz w:val="20"/>
              </w:rPr>
              <w:t>Temps cyclique</w:t>
            </w:r>
          </w:p>
        </w:tc>
        <w:tc>
          <w:tcPr>
            <w:tcW w:w="3994" w:type="dxa"/>
            <w:vAlign w:val="center"/>
          </w:tcPr>
          <w:p w:rsidR="00643946" w:rsidRPr="00643946" w:rsidRDefault="00643946" w:rsidP="00643946">
            <w:pPr>
              <w:spacing w:after="0" w:line="240" w:lineRule="auto"/>
              <w:ind w:firstLine="0"/>
              <w:rPr>
                <w:sz w:val="20"/>
              </w:rPr>
            </w:pPr>
            <w:r w:rsidRPr="00643946">
              <w:rPr>
                <w:sz w:val="20"/>
              </w:rPr>
              <w:t xml:space="preserve">Ordre </w:t>
            </w:r>
            <w:r w:rsidRPr="00643946">
              <w:rPr>
                <w:i/>
                <w:sz w:val="20"/>
              </w:rPr>
              <w:t>a priori</w:t>
            </w:r>
            <w:r w:rsidRPr="00643946">
              <w:rPr>
                <w:sz w:val="20"/>
              </w:rPr>
              <w:t>, hiérarchie préalable des valeurs</w:t>
            </w:r>
          </w:p>
          <w:p w:rsidR="00643946" w:rsidRPr="00643946" w:rsidRDefault="00643946" w:rsidP="00643946">
            <w:pPr>
              <w:spacing w:after="0" w:line="240" w:lineRule="auto"/>
              <w:ind w:firstLine="0"/>
              <w:rPr>
                <w:sz w:val="20"/>
              </w:rPr>
            </w:pPr>
            <w:r w:rsidRPr="00643946">
              <w:rPr>
                <w:sz w:val="20"/>
              </w:rPr>
              <w:t>Monde compliqué, réductible, décomposable</w:t>
            </w:r>
          </w:p>
          <w:p w:rsidR="00643946" w:rsidRPr="00643946" w:rsidRDefault="00643946" w:rsidP="00643946">
            <w:pPr>
              <w:spacing w:after="0" w:line="240" w:lineRule="auto"/>
              <w:ind w:firstLine="0"/>
              <w:rPr>
                <w:sz w:val="20"/>
              </w:rPr>
            </w:pPr>
            <w:r w:rsidRPr="00643946">
              <w:rPr>
                <w:sz w:val="20"/>
              </w:rPr>
              <w:t>Ouverture, recherché d’un au-delà des frontière</w:t>
            </w:r>
          </w:p>
          <w:p w:rsidR="00643946" w:rsidRPr="00643946" w:rsidRDefault="00643946" w:rsidP="00643946">
            <w:pPr>
              <w:spacing w:after="0" w:line="240" w:lineRule="auto"/>
              <w:ind w:firstLine="0"/>
              <w:rPr>
                <w:sz w:val="20"/>
              </w:rPr>
            </w:pPr>
            <w:r w:rsidRPr="00643946">
              <w:rPr>
                <w:sz w:val="20"/>
              </w:rPr>
              <w:t>Temps linéaire</w:t>
            </w:r>
          </w:p>
        </w:tc>
      </w:tr>
      <w:tr w:rsidR="00643946" w:rsidRPr="00643946" w:rsidTr="0007429E">
        <w:tc>
          <w:tcPr>
            <w:tcW w:w="1548" w:type="dxa"/>
            <w:vAlign w:val="center"/>
          </w:tcPr>
          <w:p w:rsidR="00643946" w:rsidRPr="00643946" w:rsidRDefault="00643946" w:rsidP="00643946">
            <w:pPr>
              <w:spacing w:after="0" w:line="240" w:lineRule="auto"/>
              <w:ind w:firstLine="0"/>
              <w:jc w:val="right"/>
              <w:rPr>
                <w:b/>
                <w:sz w:val="20"/>
              </w:rPr>
            </w:pPr>
            <w:r w:rsidRPr="00643946">
              <w:rPr>
                <w:b/>
                <w:sz w:val="20"/>
              </w:rPr>
              <w:t>Épistémologie</w:t>
            </w:r>
          </w:p>
        </w:tc>
        <w:tc>
          <w:tcPr>
            <w:tcW w:w="3780" w:type="dxa"/>
            <w:vAlign w:val="center"/>
          </w:tcPr>
          <w:p w:rsidR="00643946" w:rsidRPr="00643946" w:rsidRDefault="00643946" w:rsidP="00643946">
            <w:pPr>
              <w:spacing w:after="0" w:line="240" w:lineRule="auto"/>
              <w:ind w:firstLine="0"/>
              <w:rPr>
                <w:sz w:val="20"/>
              </w:rPr>
            </w:pPr>
            <w:r w:rsidRPr="00643946">
              <w:rPr>
                <w:sz w:val="20"/>
              </w:rPr>
              <w:t xml:space="preserve">Connaissance intime, </w:t>
            </w:r>
            <w:r w:rsidRPr="00B52177">
              <w:rPr>
                <w:b/>
                <w:sz w:val="20"/>
              </w:rPr>
              <w:t>familiarité</w:t>
            </w:r>
          </w:p>
          <w:p w:rsidR="00643946" w:rsidRPr="00643946" w:rsidRDefault="00643946" w:rsidP="00643946">
            <w:pPr>
              <w:spacing w:after="0" w:line="240" w:lineRule="auto"/>
              <w:ind w:firstLine="0"/>
              <w:rPr>
                <w:sz w:val="20"/>
              </w:rPr>
            </w:pPr>
            <w:r w:rsidRPr="00643946">
              <w:rPr>
                <w:sz w:val="20"/>
              </w:rPr>
              <w:t>Connaissance des relations et des liens, impliquant un faible biais de fixité fonctionnelle</w:t>
            </w:r>
          </w:p>
          <w:p w:rsidR="00643946" w:rsidRPr="00643946" w:rsidRDefault="00643946" w:rsidP="00643946">
            <w:pPr>
              <w:spacing w:after="0" w:line="240" w:lineRule="auto"/>
              <w:ind w:firstLine="0"/>
              <w:rPr>
                <w:sz w:val="20"/>
              </w:rPr>
            </w:pPr>
            <w:r w:rsidRPr="00B52177">
              <w:rPr>
                <w:b/>
                <w:sz w:val="20"/>
              </w:rPr>
              <w:t>Polyvalence</w:t>
            </w:r>
            <w:r w:rsidRPr="00643946">
              <w:rPr>
                <w:sz w:val="20"/>
              </w:rPr>
              <w:t xml:space="preserve"> favorisant la résilience</w:t>
            </w:r>
          </w:p>
        </w:tc>
        <w:tc>
          <w:tcPr>
            <w:tcW w:w="3994" w:type="dxa"/>
            <w:vAlign w:val="center"/>
          </w:tcPr>
          <w:p w:rsidR="00643946" w:rsidRPr="00643946" w:rsidRDefault="00643946" w:rsidP="00643946">
            <w:pPr>
              <w:spacing w:after="0" w:line="240" w:lineRule="auto"/>
              <w:ind w:firstLine="0"/>
              <w:rPr>
                <w:sz w:val="20"/>
              </w:rPr>
            </w:pPr>
            <w:r w:rsidRPr="00643946">
              <w:rPr>
                <w:sz w:val="20"/>
              </w:rPr>
              <w:t xml:space="preserve">Savoir </w:t>
            </w:r>
            <w:r w:rsidRPr="00B52177">
              <w:rPr>
                <w:b/>
                <w:sz w:val="20"/>
              </w:rPr>
              <w:t>distant</w:t>
            </w:r>
            <w:r w:rsidRPr="00643946">
              <w:rPr>
                <w:sz w:val="20"/>
              </w:rPr>
              <w:t xml:space="preserve">, représentation </w:t>
            </w:r>
            <w:r w:rsidRPr="00B52177">
              <w:rPr>
                <w:b/>
                <w:sz w:val="20"/>
              </w:rPr>
              <w:t>formelle</w:t>
            </w:r>
          </w:p>
          <w:p w:rsidR="00643946" w:rsidRPr="00643946" w:rsidRDefault="00643946" w:rsidP="00643946">
            <w:pPr>
              <w:spacing w:after="0" w:line="240" w:lineRule="auto"/>
              <w:ind w:firstLine="0"/>
              <w:rPr>
                <w:sz w:val="20"/>
              </w:rPr>
            </w:pPr>
            <w:r w:rsidRPr="00643946">
              <w:rPr>
                <w:sz w:val="20"/>
              </w:rPr>
              <w:t>Connaissance des caractéristiques structurelles des choses du monde, fixité de ce pour quoi elles ont été conçues</w:t>
            </w:r>
          </w:p>
          <w:p w:rsidR="00643946" w:rsidRPr="00B52177" w:rsidRDefault="00643946" w:rsidP="00643946">
            <w:pPr>
              <w:spacing w:after="0" w:line="240" w:lineRule="auto"/>
              <w:ind w:firstLine="0"/>
              <w:rPr>
                <w:b/>
                <w:sz w:val="20"/>
              </w:rPr>
            </w:pPr>
            <w:r w:rsidRPr="00B52177">
              <w:rPr>
                <w:b/>
                <w:sz w:val="20"/>
              </w:rPr>
              <w:t>Spécialisation</w:t>
            </w:r>
          </w:p>
        </w:tc>
      </w:tr>
      <w:tr w:rsidR="00643946" w:rsidRPr="00643946" w:rsidTr="0007429E">
        <w:tc>
          <w:tcPr>
            <w:tcW w:w="1548" w:type="dxa"/>
            <w:vAlign w:val="center"/>
          </w:tcPr>
          <w:p w:rsidR="00643946" w:rsidRPr="00643946" w:rsidRDefault="00643946" w:rsidP="00643946">
            <w:pPr>
              <w:spacing w:after="0" w:line="240" w:lineRule="auto"/>
              <w:ind w:firstLine="0"/>
              <w:jc w:val="right"/>
              <w:rPr>
                <w:b/>
                <w:sz w:val="20"/>
              </w:rPr>
            </w:pPr>
            <w:r w:rsidRPr="00643946">
              <w:rPr>
                <w:b/>
                <w:sz w:val="20"/>
              </w:rPr>
              <w:t>Pratique</w:t>
            </w:r>
          </w:p>
        </w:tc>
        <w:tc>
          <w:tcPr>
            <w:tcW w:w="3780" w:type="dxa"/>
            <w:vAlign w:val="center"/>
          </w:tcPr>
          <w:p w:rsidR="00643946" w:rsidRPr="00643946" w:rsidRDefault="00643946" w:rsidP="00643946">
            <w:pPr>
              <w:spacing w:after="0" w:line="240" w:lineRule="auto"/>
              <w:ind w:firstLine="0"/>
              <w:rPr>
                <w:sz w:val="20"/>
              </w:rPr>
            </w:pPr>
            <w:r w:rsidRPr="00643946">
              <w:rPr>
                <w:sz w:val="20"/>
              </w:rPr>
              <w:t>Collecte au travers de rencontres non planifiées</w:t>
            </w:r>
          </w:p>
          <w:p w:rsidR="00643946" w:rsidRPr="00643946" w:rsidRDefault="00643946" w:rsidP="00643946">
            <w:pPr>
              <w:spacing w:after="0" w:line="240" w:lineRule="auto"/>
              <w:ind w:firstLine="0"/>
              <w:rPr>
                <w:sz w:val="20"/>
              </w:rPr>
            </w:pPr>
            <w:r w:rsidRPr="00643946">
              <w:rPr>
                <w:sz w:val="20"/>
              </w:rPr>
              <w:t>Résultat attendu faiblement prédéfini</w:t>
            </w:r>
          </w:p>
          <w:p w:rsidR="00643946" w:rsidRPr="00643946" w:rsidRDefault="00643946" w:rsidP="00643946">
            <w:pPr>
              <w:spacing w:after="0" w:line="240" w:lineRule="auto"/>
              <w:ind w:firstLine="0"/>
              <w:rPr>
                <w:sz w:val="20"/>
              </w:rPr>
            </w:pPr>
            <w:r w:rsidRPr="00643946">
              <w:rPr>
                <w:sz w:val="20"/>
              </w:rPr>
              <w:t>Dialogue avec les éléments du stock, possibilité de détournement dans l’usage des ressources</w:t>
            </w:r>
          </w:p>
          <w:p w:rsidR="00643946" w:rsidRPr="00643946" w:rsidRDefault="00643946" w:rsidP="00643946">
            <w:pPr>
              <w:spacing w:after="0" w:line="240" w:lineRule="auto"/>
              <w:ind w:firstLine="0"/>
              <w:rPr>
                <w:sz w:val="20"/>
              </w:rPr>
            </w:pPr>
            <w:r w:rsidRPr="00643946">
              <w:rPr>
                <w:sz w:val="20"/>
              </w:rPr>
              <w:t>Assemblage, substitution</w:t>
            </w:r>
          </w:p>
          <w:p w:rsidR="00643946" w:rsidRPr="00643946" w:rsidRDefault="00643946" w:rsidP="00643946">
            <w:pPr>
              <w:spacing w:after="0" w:line="240" w:lineRule="auto"/>
              <w:ind w:firstLine="0"/>
              <w:rPr>
                <w:sz w:val="20"/>
              </w:rPr>
            </w:pPr>
            <w:r w:rsidRPr="00643946">
              <w:rPr>
                <w:sz w:val="20"/>
              </w:rPr>
              <w:t>« ça marche »</w:t>
            </w:r>
          </w:p>
          <w:p w:rsidR="00643946" w:rsidRPr="00643946" w:rsidRDefault="00643946" w:rsidP="00643946">
            <w:pPr>
              <w:spacing w:after="0" w:line="240" w:lineRule="auto"/>
              <w:ind w:firstLine="0"/>
              <w:rPr>
                <w:sz w:val="20"/>
              </w:rPr>
            </w:pPr>
            <w:r w:rsidRPr="00643946">
              <w:rPr>
                <w:sz w:val="20"/>
              </w:rPr>
              <w:t>Création et usage sont indissociables</w:t>
            </w:r>
          </w:p>
          <w:p w:rsidR="00643946" w:rsidRPr="00643946" w:rsidRDefault="00643946" w:rsidP="00643946">
            <w:pPr>
              <w:spacing w:after="0" w:line="240" w:lineRule="auto"/>
              <w:ind w:firstLine="0"/>
              <w:rPr>
                <w:sz w:val="20"/>
              </w:rPr>
            </w:pPr>
            <w:r w:rsidRPr="00643946">
              <w:rPr>
                <w:sz w:val="20"/>
              </w:rPr>
              <w:t>Le résultat ne ressemble à rien de déjà vu</w:t>
            </w:r>
          </w:p>
        </w:tc>
        <w:tc>
          <w:tcPr>
            <w:tcW w:w="3994" w:type="dxa"/>
            <w:vAlign w:val="center"/>
          </w:tcPr>
          <w:p w:rsidR="00643946" w:rsidRPr="00643946" w:rsidRDefault="00643946" w:rsidP="00643946">
            <w:pPr>
              <w:spacing w:after="0" w:line="240" w:lineRule="auto"/>
              <w:ind w:firstLine="0"/>
              <w:rPr>
                <w:sz w:val="20"/>
              </w:rPr>
            </w:pPr>
            <w:r w:rsidRPr="00643946">
              <w:rPr>
                <w:sz w:val="20"/>
              </w:rPr>
              <w:t>Recherche des moyens à la mesure du projet poursuivi</w:t>
            </w:r>
          </w:p>
          <w:p w:rsidR="00643946" w:rsidRPr="00643946" w:rsidRDefault="00643946" w:rsidP="00643946">
            <w:pPr>
              <w:spacing w:after="0" w:line="240" w:lineRule="auto"/>
              <w:ind w:firstLine="0"/>
              <w:rPr>
                <w:sz w:val="20"/>
              </w:rPr>
            </w:pPr>
            <w:r w:rsidRPr="00643946">
              <w:rPr>
                <w:sz w:val="20"/>
              </w:rPr>
              <w:t>Résultat et processus d’obtention prédéfinis</w:t>
            </w:r>
          </w:p>
          <w:p w:rsidR="00643946" w:rsidRPr="00643946" w:rsidRDefault="00643946" w:rsidP="00643946">
            <w:pPr>
              <w:spacing w:after="0" w:line="240" w:lineRule="auto"/>
              <w:ind w:firstLine="0"/>
              <w:rPr>
                <w:sz w:val="20"/>
              </w:rPr>
            </w:pPr>
            <w:r w:rsidRPr="00643946">
              <w:rPr>
                <w:sz w:val="20"/>
              </w:rPr>
              <w:t>Respect of des spécifications associées au bon usage des ressources mobilisées</w:t>
            </w:r>
          </w:p>
          <w:p w:rsidR="00643946" w:rsidRPr="00643946" w:rsidRDefault="00643946" w:rsidP="00643946">
            <w:pPr>
              <w:spacing w:after="0" w:line="240" w:lineRule="auto"/>
              <w:ind w:firstLine="0"/>
              <w:rPr>
                <w:sz w:val="20"/>
              </w:rPr>
            </w:pPr>
            <w:r w:rsidRPr="00643946">
              <w:rPr>
                <w:sz w:val="20"/>
              </w:rPr>
              <w:t>Système intégré</w:t>
            </w:r>
          </w:p>
          <w:p w:rsidR="00643946" w:rsidRPr="00643946" w:rsidRDefault="00643946" w:rsidP="00643946">
            <w:pPr>
              <w:spacing w:after="0" w:line="240" w:lineRule="auto"/>
              <w:ind w:firstLine="0"/>
              <w:rPr>
                <w:sz w:val="20"/>
              </w:rPr>
            </w:pPr>
            <w:r w:rsidRPr="00643946">
              <w:rPr>
                <w:sz w:val="20"/>
              </w:rPr>
              <w:t>Cela correspond au niveau de qualité et de performance attendus</w:t>
            </w:r>
          </w:p>
          <w:p w:rsidR="00643946" w:rsidRPr="00643946" w:rsidRDefault="00643946" w:rsidP="00643946">
            <w:pPr>
              <w:spacing w:after="0" w:line="240" w:lineRule="auto"/>
              <w:ind w:firstLine="0"/>
              <w:rPr>
                <w:sz w:val="20"/>
              </w:rPr>
            </w:pPr>
            <w:r w:rsidRPr="00643946">
              <w:rPr>
                <w:sz w:val="20"/>
              </w:rPr>
              <w:t>Séparation de création et de l’usage (les concepteurs ne sont pas les utilisateurs)</w:t>
            </w:r>
          </w:p>
          <w:p w:rsidR="00643946" w:rsidRPr="00643946" w:rsidRDefault="00643946" w:rsidP="00643946">
            <w:pPr>
              <w:spacing w:after="60" w:line="240" w:lineRule="auto"/>
              <w:ind w:firstLine="0"/>
              <w:rPr>
                <w:sz w:val="20"/>
              </w:rPr>
            </w:pPr>
            <w:r w:rsidRPr="00643946">
              <w:rPr>
                <w:sz w:val="20"/>
              </w:rPr>
              <w:t>Le résultat correspond aux attentes du domaine</w:t>
            </w:r>
          </w:p>
        </w:tc>
      </w:tr>
    </w:tbl>
    <w:p w:rsidR="00643946" w:rsidRPr="00643946" w:rsidRDefault="00643946" w:rsidP="00643946">
      <w:pPr>
        <w:ind w:firstLine="0"/>
        <w:jc w:val="right"/>
        <w:rPr>
          <w:rFonts w:eastAsia="Times New Roman" w:cs="Times New Roman"/>
          <w:i/>
          <w:sz w:val="20"/>
          <w:szCs w:val="20"/>
        </w:rPr>
      </w:pPr>
      <w:r w:rsidRPr="00643946">
        <w:rPr>
          <w:rFonts w:eastAsia="Times New Roman" w:cs="Times New Roman"/>
          <w:i/>
          <w:sz w:val="20"/>
          <w:szCs w:val="20"/>
        </w:rPr>
        <w:t>Source : Duymedjian et Rüling (2010)</w:t>
      </w:r>
    </w:p>
    <w:p w:rsidR="00643946" w:rsidRPr="00643946" w:rsidRDefault="00643946" w:rsidP="00643946">
      <w:pPr>
        <w:ind w:firstLine="0"/>
        <w:jc w:val="right"/>
        <w:rPr>
          <w:rFonts w:eastAsia="Times New Roman" w:cs="Times New Roman"/>
          <w:i/>
          <w:sz w:val="20"/>
          <w:szCs w:val="20"/>
        </w:rPr>
      </w:pPr>
    </w:p>
    <w:p w:rsidR="00643946" w:rsidRPr="00643946" w:rsidRDefault="00643946" w:rsidP="007B2185">
      <w:pPr>
        <w:numPr>
          <w:ilvl w:val="1"/>
          <w:numId w:val="6"/>
        </w:numPr>
        <w:ind w:left="567" w:hanging="567"/>
        <w:rPr>
          <w:rFonts w:eastAsia="Times New Roman" w:cs="Times New Roman"/>
          <w:b/>
          <w:i/>
          <w:szCs w:val="24"/>
        </w:rPr>
      </w:pPr>
      <w:r w:rsidRPr="00643946">
        <w:rPr>
          <w:rFonts w:eastAsia="Times New Roman" w:cs="Times New Roman"/>
          <w:b/>
          <w:i/>
          <w:szCs w:val="24"/>
        </w:rPr>
        <w:t>Des idéaux types comme acteurs économiques et rationnels</w:t>
      </w:r>
    </w:p>
    <w:p w:rsidR="00D15DF6" w:rsidRDefault="00643946" w:rsidP="00643946">
      <w:pPr>
        <w:ind w:firstLine="0"/>
        <w:jc w:val="both"/>
        <w:rPr>
          <w:rFonts w:eastAsia="Calibri" w:cs="Times New Roman"/>
          <w:b/>
          <w:szCs w:val="24"/>
          <w:lang w:eastAsia="fr-FR"/>
        </w:rPr>
      </w:pPr>
      <w:r w:rsidRPr="00643946">
        <w:rPr>
          <w:rFonts w:eastAsia="Calibri" w:cs="Times New Roman"/>
          <w:szCs w:val="24"/>
          <w:lang w:eastAsia="fr-FR"/>
        </w:rPr>
        <w:t>Ces idéaux types ont donc des comportements économiques radicalement différents</w:t>
      </w:r>
      <w:r w:rsidR="00D15DF6">
        <w:rPr>
          <w:rFonts w:eastAsia="Calibri" w:cs="Times New Roman"/>
          <w:szCs w:val="24"/>
          <w:lang w:eastAsia="fr-FR"/>
        </w:rPr>
        <w:t xml:space="preserve"> et vont jouer des rôles disparates dans le système économique que ce soit dans </w:t>
      </w:r>
      <w:r w:rsidR="00D15DF6" w:rsidRPr="00C7129A">
        <w:rPr>
          <w:rFonts w:eastAsia="Calibri" w:cs="Times New Roman"/>
          <w:szCs w:val="24"/>
          <w:lang w:eastAsia="fr-FR"/>
        </w:rPr>
        <w:t xml:space="preserve">l’action </w:t>
      </w:r>
      <w:r w:rsidR="003709F4" w:rsidRPr="00C7129A">
        <w:rPr>
          <w:rFonts w:eastAsia="Calibri" w:cs="Times New Roman"/>
          <w:szCs w:val="24"/>
          <w:lang w:eastAsia="fr-FR"/>
        </w:rPr>
        <w:t>ou</w:t>
      </w:r>
      <w:r w:rsidR="00D15DF6" w:rsidRPr="00C7129A">
        <w:rPr>
          <w:rFonts w:eastAsia="Calibri" w:cs="Times New Roman"/>
          <w:szCs w:val="24"/>
          <w:lang w:eastAsia="fr-FR"/>
        </w:rPr>
        <w:t xml:space="preserve"> dans </w:t>
      </w:r>
      <w:r w:rsidR="00D15DF6">
        <w:rPr>
          <w:rFonts w:eastAsia="Calibri" w:cs="Times New Roman"/>
          <w:szCs w:val="24"/>
          <w:lang w:eastAsia="fr-FR"/>
        </w:rPr>
        <w:t>la structuration sociale</w:t>
      </w:r>
      <w:r w:rsidRPr="00643946">
        <w:rPr>
          <w:rFonts w:eastAsia="Calibri" w:cs="Times New Roman"/>
          <w:szCs w:val="24"/>
          <w:lang w:eastAsia="fr-FR"/>
        </w:rPr>
        <w:t>.</w:t>
      </w:r>
    </w:p>
    <w:p w:rsidR="00643946" w:rsidRPr="00CF15A3" w:rsidRDefault="00643946" w:rsidP="00D15DF6">
      <w:pPr>
        <w:jc w:val="both"/>
        <w:rPr>
          <w:rFonts w:eastAsia="Calibri" w:cs="Times New Roman"/>
          <w:szCs w:val="24"/>
          <w:lang w:eastAsia="fr-FR"/>
        </w:rPr>
      </w:pPr>
      <w:r w:rsidRPr="00643946">
        <w:rPr>
          <w:rFonts w:eastAsia="Calibri" w:cs="Times New Roman"/>
          <w:b/>
          <w:szCs w:val="24"/>
          <w:lang w:eastAsia="fr-FR"/>
        </w:rPr>
        <w:t>L’ingénieur</w:t>
      </w:r>
      <w:r w:rsidRPr="00643946">
        <w:rPr>
          <w:rFonts w:eastAsia="Calibri" w:cs="Times New Roman"/>
          <w:szCs w:val="24"/>
          <w:lang w:eastAsia="fr-FR"/>
        </w:rPr>
        <w:t xml:space="preserve">, en prise directe avec la science savante, construit son projet sur la base de concepts dont il va </w:t>
      </w:r>
      <w:r w:rsidRPr="00643946">
        <w:rPr>
          <w:rFonts w:eastAsia="Calibri" w:cs="Times New Roman"/>
          <w:b/>
          <w:szCs w:val="24"/>
          <w:lang w:eastAsia="fr-FR"/>
        </w:rPr>
        <w:t>déduire</w:t>
      </w:r>
      <w:r w:rsidRPr="00643946">
        <w:rPr>
          <w:rFonts w:eastAsia="Calibri" w:cs="Times New Roman"/>
          <w:szCs w:val="24"/>
          <w:lang w:eastAsia="fr-FR"/>
        </w:rPr>
        <w:t xml:space="preserve"> ce dont il a besoin ; </w:t>
      </w:r>
      <w:r w:rsidRPr="00643946">
        <w:rPr>
          <w:rFonts w:eastAsia="Calibri" w:cs="Times New Roman"/>
          <w:b/>
          <w:szCs w:val="24"/>
          <w:lang w:eastAsia="fr-FR"/>
        </w:rPr>
        <w:t>son action est formelle</w:t>
      </w:r>
      <w:r w:rsidR="00AF4775">
        <w:rPr>
          <w:rFonts w:eastAsia="Calibri" w:cs="Times New Roman"/>
          <w:b/>
          <w:szCs w:val="24"/>
          <w:lang w:eastAsia="fr-FR"/>
        </w:rPr>
        <w:t xml:space="preserve"> </w:t>
      </w:r>
      <w:r w:rsidR="00AF4775" w:rsidRPr="00AF4775">
        <w:rPr>
          <w:rFonts w:eastAsia="Calibri" w:cs="Times New Roman"/>
          <w:szCs w:val="24"/>
          <w:lang w:eastAsia="fr-FR"/>
        </w:rPr>
        <w:t>– et suit des protocoles –</w:t>
      </w:r>
      <w:r w:rsidRPr="00643946">
        <w:rPr>
          <w:rFonts w:eastAsia="Calibri" w:cs="Times New Roman"/>
          <w:b/>
          <w:szCs w:val="24"/>
          <w:lang w:eastAsia="fr-FR"/>
        </w:rPr>
        <w:t xml:space="preserve"> à tous les niveaux</w:t>
      </w:r>
      <w:r w:rsidRPr="00643946">
        <w:rPr>
          <w:rFonts w:eastAsia="Calibri" w:cs="Times New Roman"/>
          <w:szCs w:val="24"/>
          <w:lang w:eastAsia="fr-FR"/>
        </w:rPr>
        <w:t xml:space="preserve">. La recherche des ressources revient à une recherche </w:t>
      </w:r>
      <w:r w:rsidRPr="00643946">
        <w:rPr>
          <w:rFonts w:eastAsia="Calibri" w:cs="Times New Roman"/>
          <w:b/>
          <w:szCs w:val="24"/>
          <w:lang w:eastAsia="fr-FR"/>
        </w:rPr>
        <w:t>optimale</w:t>
      </w:r>
      <w:r w:rsidRPr="00643946">
        <w:rPr>
          <w:rFonts w:eastAsia="Calibri" w:cs="Times New Roman"/>
          <w:szCs w:val="24"/>
          <w:lang w:eastAsia="fr-FR"/>
        </w:rPr>
        <w:t xml:space="preserve"> des facteurs car « l’obtention de matières premières et d'outils [sont] conçus et procurés à la mesure [du] projet » (Lévi-Strauss</w:t>
      </w:r>
      <w:r w:rsidRPr="00CF15A3">
        <w:rPr>
          <w:rFonts w:eastAsia="Calibri" w:cs="Times New Roman"/>
          <w:szCs w:val="24"/>
          <w:lang w:eastAsia="fr-FR"/>
        </w:rPr>
        <w:t xml:space="preserve">, 1962, p. 31). </w:t>
      </w:r>
      <w:r w:rsidR="00AF4775" w:rsidRPr="00CF15A3">
        <w:rPr>
          <w:rFonts w:eastAsia="Calibri" w:cs="Times New Roman"/>
          <w:szCs w:val="24"/>
          <w:lang w:eastAsia="fr-FR"/>
        </w:rPr>
        <w:t xml:space="preserve">Que les ressources soient disponibles ou non, internes ou externes, importe peu. </w:t>
      </w:r>
      <w:r w:rsidR="001F6A91" w:rsidRPr="00CF15A3">
        <w:rPr>
          <w:rFonts w:eastAsia="Calibri" w:cs="Times New Roman"/>
          <w:szCs w:val="24"/>
          <w:lang w:eastAsia="fr-FR"/>
        </w:rPr>
        <w:t>Un</w:t>
      </w:r>
      <w:r w:rsidRPr="00CF15A3">
        <w:rPr>
          <w:rFonts w:eastAsia="Calibri" w:cs="Times New Roman"/>
          <w:szCs w:val="24"/>
          <w:lang w:eastAsia="fr-FR"/>
        </w:rPr>
        <w:t xml:space="preserve">e </w:t>
      </w:r>
      <w:r w:rsidRPr="00643946">
        <w:rPr>
          <w:rFonts w:eastAsia="Calibri" w:cs="Times New Roman"/>
          <w:szCs w:val="24"/>
          <w:lang w:eastAsia="fr-FR"/>
        </w:rPr>
        <w:t xml:space="preserve">fois acquises pour ce qu’elles sont supposées faire – en relation avec leurs spécifications techniques et leur </w:t>
      </w:r>
      <w:r w:rsidRPr="00643946">
        <w:rPr>
          <w:rFonts w:eastAsia="Calibri" w:cs="Times New Roman"/>
          <w:b/>
          <w:szCs w:val="24"/>
          <w:lang w:eastAsia="fr-FR"/>
        </w:rPr>
        <w:t>mode d’emploi formel</w:t>
      </w:r>
      <w:r w:rsidRPr="00643946">
        <w:rPr>
          <w:rFonts w:eastAsia="Calibri" w:cs="Times New Roman"/>
          <w:szCs w:val="24"/>
          <w:lang w:eastAsia="fr-FR"/>
        </w:rPr>
        <w:t xml:space="preserve"> –, ces ressources sont optimalement combinées pour obtenir le meilleur résultat possible à moindre coût. </w:t>
      </w:r>
      <w:r w:rsidR="001F6A91">
        <w:rPr>
          <w:rFonts w:eastAsia="Calibri" w:cs="Times New Roman"/>
          <w:szCs w:val="24"/>
          <w:lang w:eastAsia="fr-FR"/>
        </w:rPr>
        <w:t xml:space="preserve">Ce comportement concerne donc </w:t>
      </w:r>
      <w:r w:rsidR="001F6A91" w:rsidRPr="00C7129A">
        <w:rPr>
          <w:rFonts w:eastAsia="Calibri" w:cs="Times New Roman"/>
          <w:szCs w:val="24"/>
          <w:lang w:eastAsia="fr-FR"/>
        </w:rPr>
        <w:t xml:space="preserve">aussi </w:t>
      </w:r>
      <w:r w:rsidR="00A20D43" w:rsidRPr="00C7129A">
        <w:rPr>
          <w:rFonts w:eastAsia="Calibri" w:cs="Times New Roman"/>
          <w:szCs w:val="24"/>
          <w:lang w:eastAsia="fr-FR"/>
        </w:rPr>
        <w:t xml:space="preserve">bien </w:t>
      </w:r>
      <w:r w:rsidR="001F6A91" w:rsidRPr="00C7129A">
        <w:rPr>
          <w:rFonts w:eastAsia="Calibri" w:cs="Times New Roman"/>
          <w:szCs w:val="24"/>
          <w:lang w:eastAsia="fr-FR"/>
        </w:rPr>
        <w:t xml:space="preserve">l’entrepreneur </w:t>
      </w:r>
      <w:r w:rsidR="001F6A91">
        <w:rPr>
          <w:rFonts w:eastAsia="Calibri" w:cs="Times New Roman"/>
          <w:szCs w:val="24"/>
          <w:lang w:eastAsia="fr-FR"/>
        </w:rPr>
        <w:t>que l’institution financière tous deux conçus comme des activités économiques</w:t>
      </w:r>
      <w:r w:rsidR="00D15DF6">
        <w:rPr>
          <w:rFonts w:eastAsia="Calibri" w:cs="Times New Roman"/>
          <w:szCs w:val="24"/>
          <w:lang w:eastAsia="fr-FR"/>
        </w:rPr>
        <w:t xml:space="preserve"> de même ordre</w:t>
      </w:r>
      <w:r w:rsidR="001F6A91">
        <w:rPr>
          <w:rFonts w:eastAsia="Calibri" w:cs="Times New Roman"/>
          <w:szCs w:val="24"/>
          <w:lang w:eastAsia="fr-FR"/>
        </w:rPr>
        <w:t>. Ceci dit, pour l’entrepreneur, la recherche de ressource</w:t>
      </w:r>
      <w:r w:rsidR="00A20D43">
        <w:rPr>
          <w:rFonts w:eastAsia="Calibri" w:cs="Times New Roman"/>
          <w:szCs w:val="24"/>
          <w:lang w:eastAsia="fr-FR"/>
        </w:rPr>
        <w:t>s</w:t>
      </w:r>
      <w:r w:rsidR="001F6A91">
        <w:rPr>
          <w:rFonts w:eastAsia="Calibri" w:cs="Times New Roman"/>
          <w:szCs w:val="24"/>
          <w:lang w:eastAsia="fr-FR"/>
        </w:rPr>
        <w:t xml:space="preserve"> peut être relative aux ressources financières : alors, </w:t>
      </w:r>
      <w:r w:rsidR="001F6A91" w:rsidRPr="00CC78B7">
        <w:rPr>
          <w:rFonts w:eastAsia="Calibri" w:cs="Times New Roman"/>
          <w:szCs w:val="24"/>
          <w:lang w:eastAsia="fr-FR"/>
        </w:rPr>
        <w:t xml:space="preserve">l’agent </w:t>
      </w:r>
      <w:r w:rsidR="00C271C9">
        <w:rPr>
          <w:rFonts w:eastAsia="Calibri" w:cs="Times New Roman"/>
          <w:szCs w:val="24"/>
          <w:lang w:eastAsia="fr-FR"/>
        </w:rPr>
        <w:t>à</w:t>
      </w:r>
      <w:r w:rsidR="001F6A91" w:rsidRPr="00CC78B7">
        <w:rPr>
          <w:rFonts w:eastAsia="Calibri" w:cs="Times New Roman"/>
          <w:szCs w:val="24"/>
          <w:lang w:eastAsia="fr-FR"/>
        </w:rPr>
        <w:t xml:space="preserve"> </w:t>
      </w:r>
      <w:r w:rsidR="001F6A91">
        <w:rPr>
          <w:rFonts w:eastAsia="Calibri" w:cs="Times New Roman"/>
          <w:szCs w:val="24"/>
          <w:lang w:eastAsia="fr-FR"/>
        </w:rPr>
        <w:t xml:space="preserve">besoin de financement s’inscrit dans un processus </w:t>
      </w:r>
      <w:r w:rsidR="001F6A91" w:rsidRPr="001F6A91">
        <w:rPr>
          <w:rFonts w:eastAsia="Calibri" w:cs="Times New Roman"/>
          <w:b/>
          <w:szCs w:val="24"/>
          <w:lang w:eastAsia="fr-FR"/>
        </w:rPr>
        <w:t>formel, rationnel et optimal</w:t>
      </w:r>
      <w:r w:rsidR="001F6A91">
        <w:rPr>
          <w:rFonts w:eastAsia="Calibri" w:cs="Times New Roman"/>
          <w:szCs w:val="24"/>
          <w:lang w:eastAsia="fr-FR"/>
        </w:rPr>
        <w:t xml:space="preserve"> au regard de ses contraintes et </w:t>
      </w:r>
      <w:r w:rsidR="001F6A91" w:rsidRPr="00CF15A3">
        <w:rPr>
          <w:rFonts w:eastAsia="Calibri" w:cs="Times New Roman"/>
          <w:szCs w:val="24"/>
          <w:lang w:eastAsia="fr-FR"/>
        </w:rPr>
        <w:t>besoins.</w:t>
      </w:r>
      <w:r w:rsidR="00CC78B7" w:rsidRPr="00CF15A3">
        <w:rPr>
          <w:rFonts w:eastAsia="Calibri" w:cs="Times New Roman"/>
          <w:szCs w:val="24"/>
          <w:lang w:eastAsia="fr-FR"/>
        </w:rPr>
        <w:t xml:space="preserve"> </w:t>
      </w:r>
      <w:r w:rsidR="00503131" w:rsidRPr="00CF15A3">
        <w:rPr>
          <w:rFonts w:eastAsia="Calibri" w:cs="Times New Roman"/>
          <w:szCs w:val="24"/>
          <w:lang w:eastAsia="fr-FR"/>
        </w:rPr>
        <w:t>Enfin, et bien entendu, cette optimisation suppose une spécialisation des actions et des agents économiques seule à même d’accroitre l’efficacité et la productivité – comme Smith l’a expliqué dès 1776. L’ingénieur est un spécialiste, quel que soit son choix d’activité.</w:t>
      </w:r>
    </w:p>
    <w:p w:rsidR="00643946" w:rsidRPr="00726BE0" w:rsidRDefault="00643946" w:rsidP="00643946">
      <w:pPr>
        <w:jc w:val="both"/>
        <w:rPr>
          <w:rFonts w:eastAsia="Calibri" w:cs="Times New Roman"/>
          <w:szCs w:val="24"/>
          <w:lang w:eastAsia="fr-FR"/>
        </w:rPr>
      </w:pPr>
      <w:r w:rsidRPr="00643946">
        <w:rPr>
          <w:rFonts w:eastAsia="Calibri" w:cs="Times New Roman"/>
          <w:szCs w:val="24"/>
          <w:lang w:eastAsia="fr-FR"/>
        </w:rPr>
        <w:t xml:space="preserve">Là encore, le bricoleur se démarque des impératifs de la norme économique dite </w:t>
      </w:r>
      <w:r w:rsidRPr="00643946">
        <w:rPr>
          <w:rFonts w:eastAsia="Calibri" w:cs="Times New Roman"/>
          <w:b/>
          <w:szCs w:val="24"/>
          <w:lang w:eastAsia="fr-FR"/>
        </w:rPr>
        <w:t>rationnelle</w:t>
      </w:r>
      <w:r w:rsidRPr="00643946">
        <w:rPr>
          <w:rFonts w:eastAsia="Calibri" w:cs="Times New Roman"/>
          <w:szCs w:val="24"/>
          <w:lang w:eastAsia="fr-FR"/>
        </w:rPr>
        <w:t xml:space="preserve">, notamment dans sa capacité à détourner de leur usage initial des objets ; </w:t>
      </w:r>
      <w:r w:rsidRPr="00643946">
        <w:rPr>
          <w:rFonts w:eastAsia="Calibri" w:cs="Times New Roman"/>
          <w:b/>
          <w:szCs w:val="24"/>
          <w:lang w:eastAsia="fr-FR"/>
        </w:rPr>
        <w:t>son action est informelle et parfois intuitive</w:t>
      </w:r>
      <w:r w:rsidRPr="00643946">
        <w:rPr>
          <w:rFonts w:eastAsia="Calibri" w:cs="Times New Roman"/>
          <w:szCs w:val="24"/>
          <w:lang w:eastAsia="fr-FR"/>
        </w:rPr>
        <w:t xml:space="preserve">. Une vieille porte devient une table de cuisine, une tôle de protection d’une vieille machine trainant au fond de l’atelier se transforme, montée astucieusement sur la machine principale de production, en un plan incliné permettant de faciliter le ramassage des pièces. Le bricoleur actualise plutôt qu’il ne réalise. En situation d’action, il se retourne </w:t>
      </w:r>
      <w:r w:rsidR="00503131" w:rsidRPr="00503131">
        <w:rPr>
          <w:rFonts w:eastAsia="Calibri" w:cs="Times New Roman"/>
          <w:b/>
          <w:szCs w:val="24"/>
          <w:lang w:eastAsia="fr-FR"/>
        </w:rPr>
        <w:t>d’abord</w:t>
      </w:r>
      <w:r w:rsidR="00503131">
        <w:rPr>
          <w:rFonts w:eastAsia="Calibri" w:cs="Times New Roman"/>
          <w:szCs w:val="24"/>
          <w:lang w:eastAsia="fr-FR"/>
        </w:rPr>
        <w:t xml:space="preserve"> </w:t>
      </w:r>
      <w:r w:rsidRPr="00643946">
        <w:rPr>
          <w:rFonts w:eastAsia="Calibri" w:cs="Times New Roman"/>
          <w:szCs w:val="24"/>
          <w:lang w:eastAsia="fr-FR"/>
        </w:rPr>
        <w:t xml:space="preserve">vers son stock, l’interroge afin de voir dans quelles mesures les moyens qu’il contient peuvent l’aider à résoudre son </w:t>
      </w:r>
      <w:r w:rsidRPr="00CF15A3">
        <w:rPr>
          <w:rFonts w:eastAsia="Calibri" w:cs="Times New Roman"/>
          <w:szCs w:val="24"/>
          <w:lang w:eastAsia="fr-FR"/>
        </w:rPr>
        <w:t>problème</w:t>
      </w:r>
      <w:r w:rsidR="00503131" w:rsidRPr="00CF15A3">
        <w:rPr>
          <w:rFonts w:eastAsia="Calibri" w:cs="Times New Roman"/>
          <w:szCs w:val="24"/>
          <w:lang w:eastAsia="fr-FR"/>
        </w:rPr>
        <w:t> ; c’est seulement quand la situation l’exige qu’il envisage le recours à des ressources externes</w:t>
      </w:r>
      <w:r w:rsidRPr="00CF15A3">
        <w:rPr>
          <w:rFonts w:eastAsia="Calibri" w:cs="Times New Roman"/>
          <w:szCs w:val="24"/>
          <w:lang w:eastAsia="fr-FR"/>
        </w:rPr>
        <w:t xml:space="preserve">. Il tente de ne pas se laisser contraindre par un biais de </w:t>
      </w:r>
      <w:r w:rsidRPr="00CF15A3">
        <w:rPr>
          <w:rFonts w:eastAsia="Calibri" w:cs="Times New Roman"/>
          <w:b/>
          <w:szCs w:val="24"/>
          <w:lang w:eastAsia="fr-FR"/>
        </w:rPr>
        <w:t>fixité fonctionnelle</w:t>
      </w:r>
      <w:r w:rsidRPr="00CF15A3">
        <w:rPr>
          <w:rFonts w:eastAsia="Calibri" w:cs="Times New Roman"/>
          <w:szCs w:val="24"/>
          <w:lang w:eastAsia="fr-FR"/>
        </w:rPr>
        <w:t xml:space="preserve"> (German et Barrett, 2005), biais cognitif consistant à ne voir dans un objet que ce pour quoi il a été conçu.</w:t>
      </w:r>
      <w:r w:rsidR="001F6A91" w:rsidRPr="00CF15A3">
        <w:rPr>
          <w:rFonts w:eastAsia="Calibri" w:cs="Times New Roman"/>
          <w:szCs w:val="24"/>
          <w:lang w:eastAsia="fr-FR"/>
        </w:rPr>
        <w:t xml:space="preserve"> </w:t>
      </w:r>
      <w:r w:rsidR="00503131" w:rsidRPr="00CF15A3">
        <w:rPr>
          <w:rFonts w:eastAsia="Calibri" w:cs="Times New Roman"/>
          <w:szCs w:val="24"/>
          <w:lang w:eastAsia="fr-FR"/>
        </w:rPr>
        <w:t xml:space="preserve">Sa polyvalence – </w:t>
      </w:r>
      <w:r w:rsidR="00503131" w:rsidRPr="00CF15A3">
        <w:rPr>
          <w:rFonts w:eastAsia="Calibri" w:cs="Times New Roman"/>
          <w:i/>
          <w:szCs w:val="24"/>
          <w:lang w:eastAsia="fr-FR"/>
        </w:rPr>
        <w:t>versus</w:t>
      </w:r>
      <w:r w:rsidR="00503131" w:rsidRPr="00CF15A3">
        <w:rPr>
          <w:rFonts w:eastAsia="Calibri" w:cs="Times New Roman"/>
          <w:szCs w:val="24"/>
          <w:lang w:eastAsia="fr-FR"/>
        </w:rPr>
        <w:t xml:space="preserve"> la spécialisation de l’ingénieur – devient à la fois une cause et une conséquence de son mode de pensée. Il est polyvalent car il n’est pas contraint par la fixité fonctionnelle</w:t>
      </w:r>
      <w:r w:rsidR="0089691D" w:rsidRPr="00CF15A3">
        <w:rPr>
          <w:rFonts w:eastAsia="Calibri" w:cs="Times New Roman"/>
          <w:szCs w:val="24"/>
          <w:lang w:eastAsia="fr-FR"/>
        </w:rPr>
        <w:t>, « tout vaut »</w:t>
      </w:r>
      <w:r w:rsidR="00503131" w:rsidRPr="00CF15A3">
        <w:rPr>
          <w:rFonts w:eastAsia="Calibri" w:cs="Times New Roman"/>
          <w:szCs w:val="24"/>
          <w:lang w:eastAsia="fr-FR"/>
        </w:rPr>
        <w:t xml:space="preserve"> ; </w:t>
      </w:r>
      <w:r w:rsidR="00503131" w:rsidRPr="00404E0B">
        <w:rPr>
          <w:rFonts w:eastAsia="Calibri" w:cs="Times New Roman"/>
          <w:b/>
          <w:szCs w:val="24"/>
          <w:lang w:eastAsia="fr-FR"/>
        </w:rPr>
        <w:t xml:space="preserve">sa polyvalence </w:t>
      </w:r>
      <w:r w:rsidR="0089691D" w:rsidRPr="00404E0B">
        <w:rPr>
          <w:rFonts w:eastAsia="Calibri" w:cs="Times New Roman"/>
          <w:b/>
          <w:szCs w:val="24"/>
          <w:lang w:eastAsia="fr-FR"/>
        </w:rPr>
        <w:t>lui permet d’appréhender la complexité de son environnement</w:t>
      </w:r>
      <w:r w:rsidR="0089691D" w:rsidRPr="00CF15A3">
        <w:rPr>
          <w:rFonts w:eastAsia="Calibri" w:cs="Times New Roman"/>
          <w:szCs w:val="24"/>
          <w:lang w:eastAsia="fr-FR"/>
        </w:rPr>
        <w:t>.</w:t>
      </w:r>
      <w:r w:rsidR="00503131" w:rsidRPr="00CF15A3">
        <w:rPr>
          <w:rFonts w:eastAsia="Calibri" w:cs="Times New Roman"/>
          <w:szCs w:val="24"/>
          <w:lang w:eastAsia="fr-FR"/>
        </w:rPr>
        <w:t xml:space="preserve"> </w:t>
      </w:r>
      <w:r w:rsidR="00404E0B" w:rsidRPr="00726BE0">
        <w:rPr>
          <w:rFonts w:eastAsia="Calibri" w:cs="Times New Roman"/>
          <w:szCs w:val="24"/>
          <w:lang w:eastAsia="fr-FR"/>
        </w:rPr>
        <w:t xml:space="preserve">Ainsi, l’activité économique est comprise </w:t>
      </w:r>
      <w:r w:rsidR="00404E0B" w:rsidRPr="00726BE0">
        <w:rPr>
          <w:rFonts w:eastAsia="Calibri" w:cs="Times New Roman"/>
          <w:b/>
          <w:szCs w:val="24"/>
          <w:lang w:eastAsia="fr-FR"/>
        </w:rPr>
        <w:t>dans une sphère plus large et complexe d’interactions et de relations humaines et sociales</w:t>
      </w:r>
      <w:r w:rsidR="00404E0B" w:rsidRPr="00726BE0">
        <w:rPr>
          <w:rFonts w:eastAsia="Calibri" w:cs="Times New Roman"/>
          <w:szCs w:val="24"/>
          <w:lang w:eastAsia="fr-FR"/>
        </w:rPr>
        <w:t>.</w:t>
      </w:r>
    </w:p>
    <w:p w:rsidR="00643946" w:rsidRPr="00CF15A3" w:rsidRDefault="00643946" w:rsidP="00643946">
      <w:pPr>
        <w:jc w:val="both"/>
        <w:rPr>
          <w:rFonts w:eastAsia="Times New Roman" w:cs="Times New Roman"/>
          <w:szCs w:val="24"/>
        </w:rPr>
      </w:pPr>
      <w:r w:rsidRPr="00643946">
        <w:rPr>
          <w:rFonts w:eastAsia="Times New Roman" w:cs="Times New Roman"/>
          <w:szCs w:val="24"/>
        </w:rPr>
        <w:t xml:space="preserve">Ici, le bricoleur semble s’éloigner de la rationalité économique telle que nous la concevons usuellement. Or, </w:t>
      </w:r>
      <w:r w:rsidR="00C271C9">
        <w:rPr>
          <w:rFonts w:eastAsia="Times New Roman" w:cs="Times New Roman"/>
          <w:szCs w:val="24"/>
        </w:rPr>
        <w:t>cette dernière</w:t>
      </w:r>
      <w:r w:rsidRPr="00643946">
        <w:rPr>
          <w:rFonts w:eastAsia="Times New Roman" w:cs="Times New Roman"/>
          <w:szCs w:val="24"/>
        </w:rPr>
        <w:t xml:space="preserve"> ne constitue pas la seule forme de rationalité, ou autrement dit la seule forme de </w:t>
      </w:r>
      <w:r w:rsidRPr="00643946">
        <w:rPr>
          <w:rFonts w:eastAsia="Times New Roman" w:cs="Times New Roman"/>
          <w:b/>
          <w:szCs w:val="24"/>
        </w:rPr>
        <w:t>raison</w:t>
      </w:r>
      <w:r w:rsidRPr="00643946">
        <w:rPr>
          <w:rFonts w:eastAsia="Times New Roman" w:cs="Times New Roman"/>
          <w:szCs w:val="24"/>
        </w:rPr>
        <w:t xml:space="preserve"> ou de raisonnement. La </w:t>
      </w:r>
      <w:r w:rsidRPr="00643946">
        <w:rPr>
          <w:rFonts w:eastAsia="Times New Roman" w:cs="Times New Roman"/>
          <w:b/>
          <w:szCs w:val="24"/>
        </w:rPr>
        <w:t>rationalité au sens large peut être entendue</w:t>
      </w:r>
      <w:r w:rsidRPr="00643946">
        <w:rPr>
          <w:rFonts w:eastAsia="Times New Roman" w:cs="Times New Roman"/>
          <w:szCs w:val="24"/>
        </w:rPr>
        <w:t xml:space="preserve"> comme une mise en relation de moyens au regard d’une fin/d’un objectif. La rationalité économique pour sa part conserve cette vision en la complétant de manière cruciale : les objectifs ou finalités sont les préférences – en termes d’utilité – des individus. Or, l</w:t>
      </w:r>
      <w:r w:rsidRPr="00643946">
        <w:rPr>
          <w:rFonts w:eastAsia="Calibri" w:cs="Times New Roman"/>
          <w:lang w:eastAsia="fr-FR"/>
        </w:rPr>
        <w:t xml:space="preserve">e bricoleur fait « avec », en mettant en œuvre une rationalité différente de l’ingénieur. Plus encore, il fait avec les moyens du bord. </w:t>
      </w:r>
      <w:r w:rsidRPr="00643946">
        <w:rPr>
          <w:rFonts w:eastAsia="Calibri" w:cs="Times New Roman"/>
          <w:b/>
          <w:lang w:eastAsia="fr-FR"/>
        </w:rPr>
        <w:t xml:space="preserve">Cette rationalité et ce mode de faire bouleversent </w:t>
      </w:r>
      <w:r w:rsidRPr="00643946">
        <w:rPr>
          <w:rFonts w:eastAsia="Calibri" w:cs="Times New Roman"/>
          <w:lang w:eastAsia="fr-FR"/>
        </w:rPr>
        <w:t xml:space="preserve">non seulement la notion d’agent économique mais également les pratiques de conceptions et de productions des biens et des </w:t>
      </w:r>
      <w:r w:rsidRPr="00DD7DA9">
        <w:rPr>
          <w:rFonts w:eastAsia="Calibri" w:cs="Times New Roman"/>
          <w:lang w:eastAsia="fr-FR"/>
        </w:rPr>
        <w:t>services</w:t>
      </w:r>
      <w:r w:rsidR="00550B90" w:rsidRPr="00DD7DA9">
        <w:rPr>
          <w:rFonts w:eastAsia="Calibri" w:cs="Times New Roman"/>
          <w:lang w:eastAsia="fr-FR"/>
        </w:rPr>
        <w:t xml:space="preserve"> tout comme</w:t>
      </w:r>
      <w:r w:rsidR="0067375C" w:rsidRPr="00DD7DA9">
        <w:rPr>
          <w:rFonts w:eastAsia="Calibri" w:cs="Times New Roman"/>
          <w:lang w:eastAsia="fr-FR"/>
        </w:rPr>
        <w:t xml:space="preserve"> la relation </w:t>
      </w:r>
      <w:r w:rsidR="0067375C" w:rsidRPr="00CF15A3">
        <w:rPr>
          <w:rFonts w:eastAsia="Calibri" w:cs="Times New Roman"/>
          <w:lang w:eastAsia="fr-FR"/>
        </w:rPr>
        <w:t>financière</w:t>
      </w:r>
      <w:r w:rsidRPr="00CF15A3">
        <w:rPr>
          <w:rFonts w:eastAsia="Calibri" w:cs="Times New Roman"/>
          <w:lang w:eastAsia="fr-FR"/>
        </w:rPr>
        <w:t>.</w:t>
      </w:r>
    </w:p>
    <w:p w:rsidR="00643946" w:rsidRPr="00643946" w:rsidRDefault="00643946" w:rsidP="00643946">
      <w:pPr>
        <w:jc w:val="both"/>
        <w:rPr>
          <w:rFonts w:eastAsia="Calibri" w:cs="Times New Roman"/>
          <w:szCs w:val="24"/>
          <w:lang w:eastAsia="fr-FR"/>
        </w:rPr>
      </w:pPr>
    </w:p>
    <w:p w:rsidR="00E92ACD" w:rsidRPr="00EF48FD" w:rsidRDefault="00E92ACD" w:rsidP="00EF48FD">
      <w:pPr>
        <w:pStyle w:val="ListParagraph"/>
        <w:numPr>
          <w:ilvl w:val="0"/>
          <w:numId w:val="6"/>
        </w:numPr>
        <w:tabs>
          <w:tab w:val="center" w:pos="4536"/>
        </w:tabs>
        <w:spacing w:after="240"/>
        <w:ind w:left="567" w:hanging="567"/>
        <w:outlineLvl w:val="0"/>
        <w:rPr>
          <w:rFonts w:eastAsia="Times New Roman" w:cs="Times New Roman"/>
          <w:b/>
          <w:sz w:val="28"/>
          <w:szCs w:val="24"/>
          <w:lang w:eastAsia="fr-FR"/>
        </w:rPr>
      </w:pPr>
      <w:r w:rsidRPr="00EF48FD">
        <w:rPr>
          <w:rFonts w:eastAsia="Times New Roman" w:cs="Times New Roman"/>
          <w:b/>
          <w:sz w:val="28"/>
          <w:szCs w:val="24"/>
          <w:lang w:eastAsia="fr-FR"/>
        </w:rPr>
        <w:t>Le couple bricoleu</w:t>
      </w:r>
      <w:r w:rsidR="00EF48FD">
        <w:rPr>
          <w:rFonts w:eastAsia="Times New Roman" w:cs="Times New Roman"/>
          <w:b/>
          <w:sz w:val="28"/>
          <w:szCs w:val="24"/>
          <w:lang w:eastAsia="fr-FR"/>
        </w:rPr>
        <w:t>r-</w:t>
      </w:r>
      <w:r w:rsidR="00622BE1" w:rsidRPr="00EF48FD">
        <w:rPr>
          <w:rFonts w:eastAsia="Times New Roman" w:cs="Times New Roman"/>
          <w:b/>
          <w:sz w:val="28"/>
          <w:szCs w:val="24"/>
          <w:lang w:eastAsia="fr-FR"/>
        </w:rPr>
        <w:t xml:space="preserve">ingénieur appliqué au </w:t>
      </w:r>
      <w:r w:rsidR="00EF48FD">
        <w:rPr>
          <w:rFonts w:eastAsia="Times New Roman" w:cs="Times New Roman"/>
          <w:b/>
          <w:sz w:val="28"/>
          <w:szCs w:val="24"/>
          <w:lang w:eastAsia="fr-FR"/>
        </w:rPr>
        <w:t xml:space="preserve">financeur-financé </w:t>
      </w:r>
      <w:r w:rsidRPr="00EF48FD">
        <w:rPr>
          <w:rFonts w:eastAsia="Times New Roman" w:cs="Times New Roman"/>
          <w:b/>
          <w:sz w:val="28"/>
          <w:szCs w:val="24"/>
          <w:lang w:eastAsia="fr-FR"/>
        </w:rPr>
        <w:t>: un nouvel éclairage sur l’enjeu de la banalisation de la microfinance</w:t>
      </w:r>
    </w:p>
    <w:p w:rsidR="00BF0706" w:rsidRPr="00E63B5E" w:rsidRDefault="00BF0706" w:rsidP="00191033">
      <w:pPr>
        <w:ind w:firstLine="0"/>
        <w:contextualSpacing/>
        <w:jc w:val="both"/>
        <w:rPr>
          <w:rFonts w:cs="Times New Roman"/>
          <w:szCs w:val="24"/>
        </w:rPr>
      </w:pPr>
      <w:r w:rsidRPr="00E63B5E">
        <w:rPr>
          <w:rFonts w:cs="Times New Roman"/>
          <w:szCs w:val="24"/>
        </w:rPr>
        <w:t>À la lumière de ce qui précède, nous pouvons maintenant saisir l’importance des différences entre les modes de pensée. Ces différences deviennent alors potentiellement problématiques quand ces idéau</w:t>
      </w:r>
      <w:r w:rsidR="00CF15A3" w:rsidRPr="00E63B5E">
        <w:rPr>
          <w:rFonts w:cs="Times New Roman"/>
          <w:szCs w:val="24"/>
        </w:rPr>
        <w:t>x types entrent en interaction et plus spécifiquement, quand ils établissent une relation économique</w:t>
      </w:r>
      <w:r w:rsidR="00622BE1" w:rsidRPr="00E63B5E">
        <w:rPr>
          <w:rFonts w:cs="Times New Roman"/>
          <w:szCs w:val="24"/>
        </w:rPr>
        <w:t>, y compris</w:t>
      </w:r>
      <w:r w:rsidR="00CF15A3" w:rsidRPr="00E63B5E">
        <w:rPr>
          <w:rFonts w:cs="Times New Roman"/>
          <w:szCs w:val="24"/>
        </w:rPr>
        <w:t xml:space="preserve"> financière.</w:t>
      </w:r>
    </w:p>
    <w:p w:rsidR="00D6528D" w:rsidRPr="00E63B5E" w:rsidRDefault="00D6528D" w:rsidP="00D6528D">
      <w:pPr>
        <w:contextualSpacing/>
        <w:jc w:val="both"/>
        <w:rPr>
          <w:rFonts w:cs="Times New Roman"/>
          <w:szCs w:val="24"/>
        </w:rPr>
      </w:pPr>
      <w:r w:rsidRPr="00E63B5E">
        <w:rPr>
          <w:rFonts w:cs="Times New Roman"/>
          <w:szCs w:val="24"/>
        </w:rPr>
        <w:t xml:space="preserve">Or, justement, nous avons évoqué plus haut le caractère informel des relations économiques. Ce dernier met en jeu le mode de faire </w:t>
      </w:r>
      <w:r w:rsidR="004F3B9C">
        <w:rPr>
          <w:rFonts w:cs="Times New Roman"/>
          <w:szCs w:val="24"/>
        </w:rPr>
        <w:t>et de penser</w:t>
      </w:r>
      <w:r w:rsidRPr="00CF5BE7">
        <w:rPr>
          <w:rFonts w:cs="Times New Roman"/>
          <w:szCs w:val="24"/>
        </w:rPr>
        <w:t xml:space="preserve"> </w:t>
      </w:r>
      <w:r w:rsidR="00E63B5E" w:rsidRPr="00CF5BE7">
        <w:rPr>
          <w:rFonts w:cs="Times New Roman"/>
          <w:szCs w:val="24"/>
        </w:rPr>
        <w:t xml:space="preserve">de </w:t>
      </w:r>
      <w:r w:rsidR="00E63B5E">
        <w:rPr>
          <w:rFonts w:cs="Times New Roman"/>
          <w:szCs w:val="24"/>
        </w:rPr>
        <w:t xml:space="preserve">chacun, </w:t>
      </w:r>
      <w:r w:rsidR="00E63B5E" w:rsidRPr="00E63B5E">
        <w:rPr>
          <w:rFonts w:cs="Times New Roman"/>
          <w:b/>
          <w:szCs w:val="24"/>
        </w:rPr>
        <w:t>il est fondamental à la relation sociale</w:t>
      </w:r>
      <w:r w:rsidR="00E63B5E">
        <w:rPr>
          <w:rFonts w:cs="Times New Roman"/>
          <w:szCs w:val="24"/>
        </w:rPr>
        <w:t xml:space="preserve">, à sa qualité et sa pérennité. Dans le cas de la microfinance, cela est d’autant plus </w:t>
      </w:r>
      <w:r w:rsidR="00DD7DA9">
        <w:rPr>
          <w:rFonts w:cs="Times New Roman"/>
          <w:szCs w:val="24"/>
        </w:rPr>
        <w:t>aigu</w:t>
      </w:r>
      <w:r w:rsidR="00E63B5E">
        <w:rPr>
          <w:rFonts w:cs="Times New Roman"/>
          <w:szCs w:val="24"/>
        </w:rPr>
        <w:t>. Nous reviendrons rapidement sur la nature de la relation économique et financière – par le prisme des IMF –, puis nous élargirons alors l’analyse des idéaux-types ingénieur-bricoleur au couple financeur-financé. Ainsi, nous pourrons souligner les tensions au sein de cette relation du fait du décalage entre les acteurs en présence, soit le financeur et le financé.</w:t>
      </w:r>
    </w:p>
    <w:p w:rsidR="00CF15A3" w:rsidRDefault="00CF15A3" w:rsidP="00E63B5E">
      <w:pPr>
        <w:ind w:firstLine="0"/>
        <w:jc w:val="both"/>
        <w:rPr>
          <w:rFonts w:cs="Times New Roman"/>
        </w:rPr>
      </w:pPr>
    </w:p>
    <w:p w:rsidR="00CF15A3" w:rsidRPr="00D6528D" w:rsidRDefault="00D6528D" w:rsidP="00D6528D">
      <w:pPr>
        <w:pStyle w:val="ListParagraph"/>
        <w:numPr>
          <w:ilvl w:val="1"/>
          <w:numId w:val="9"/>
        </w:numPr>
        <w:ind w:left="425" w:hanging="425"/>
        <w:contextualSpacing w:val="0"/>
        <w:rPr>
          <w:rFonts w:eastAsia="Times New Roman" w:cs="Times New Roman"/>
          <w:b/>
          <w:i/>
          <w:szCs w:val="24"/>
        </w:rPr>
      </w:pPr>
      <w:r w:rsidRPr="00D6528D">
        <w:rPr>
          <w:rFonts w:eastAsia="Times New Roman" w:cs="Times New Roman"/>
          <w:b/>
          <w:i/>
          <w:szCs w:val="24"/>
        </w:rPr>
        <w:t xml:space="preserve">La microfinance et la nécessaire prise en compte de la relation </w:t>
      </w:r>
      <w:r w:rsidRPr="00D6528D">
        <w:rPr>
          <w:rFonts w:eastAsia="Times New Roman" w:cs="Times New Roman"/>
          <w:b/>
          <w:szCs w:val="24"/>
        </w:rPr>
        <w:t>sociale</w:t>
      </w:r>
      <w:r w:rsidRPr="00D6528D">
        <w:rPr>
          <w:rFonts w:eastAsia="Times New Roman" w:cs="Times New Roman"/>
          <w:b/>
          <w:i/>
          <w:szCs w:val="24"/>
        </w:rPr>
        <w:t xml:space="preserve"> dans une transaction financière </w:t>
      </w:r>
    </w:p>
    <w:p w:rsidR="00E63B5E" w:rsidRDefault="00E63B5E" w:rsidP="00E63B5E">
      <w:pPr>
        <w:ind w:firstLine="0"/>
        <w:jc w:val="both"/>
        <w:rPr>
          <w:rFonts w:cs="Times New Roman"/>
          <w:szCs w:val="24"/>
        </w:rPr>
      </w:pPr>
      <w:r>
        <w:rPr>
          <w:rFonts w:cs="Times New Roman"/>
          <w:szCs w:val="24"/>
        </w:rPr>
        <w:t xml:space="preserve">Nous avons vu que la relation financeur-financé </w:t>
      </w:r>
      <w:r w:rsidR="00DD7DA9">
        <w:rPr>
          <w:rFonts w:cs="Times New Roman"/>
          <w:szCs w:val="24"/>
        </w:rPr>
        <w:t xml:space="preserve">de la microfinance </w:t>
      </w:r>
      <w:r>
        <w:rPr>
          <w:rFonts w:cs="Times New Roman"/>
          <w:szCs w:val="24"/>
        </w:rPr>
        <w:t xml:space="preserve">restait la composante la moins </w:t>
      </w:r>
      <w:r w:rsidR="00CF5BE7">
        <w:rPr>
          <w:rFonts w:cs="Times New Roman"/>
          <w:szCs w:val="24"/>
        </w:rPr>
        <w:t xml:space="preserve">altérée </w:t>
      </w:r>
      <w:r>
        <w:rPr>
          <w:rFonts w:cs="Times New Roman"/>
          <w:szCs w:val="24"/>
        </w:rPr>
        <w:t>par la banalisation et conservait sa part d’informalité.</w:t>
      </w:r>
      <w:r w:rsidR="00ED0492">
        <w:rPr>
          <w:rFonts w:cs="Times New Roman"/>
          <w:szCs w:val="24"/>
        </w:rPr>
        <w:t xml:space="preserve"> Si elle est composée d’aspects strictement transactionnels et formels, elle repose largement sur des aspects sociaux. La microfinance nous montre particulièrement leur nature à travers des relations financières jugées atypiques – voire superflues – d’un point de vue occidental.</w:t>
      </w:r>
    </w:p>
    <w:p w:rsidR="007F4036" w:rsidRPr="00EE005B" w:rsidRDefault="00ED0492" w:rsidP="00ED0492">
      <w:pPr>
        <w:jc w:val="both"/>
        <w:rPr>
          <w:rFonts w:cs="Times New Roman"/>
          <w:szCs w:val="24"/>
        </w:rPr>
      </w:pPr>
      <w:r>
        <w:rPr>
          <w:rFonts w:cs="Times New Roman"/>
          <w:szCs w:val="24"/>
        </w:rPr>
        <w:t>En effet, le succès de la microfinance repose sur</w:t>
      </w:r>
      <w:r w:rsidR="00E63B5E">
        <w:rPr>
          <w:rFonts w:cs="Times New Roman"/>
          <w:szCs w:val="24"/>
        </w:rPr>
        <w:t xml:space="preserve"> </w:t>
      </w:r>
      <w:r w:rsidR="007F4036" w:rsidRPr="00EE005B">
        <w:rPr>
          <w:rFonts w:cs="Times New Roman"/>
          <w:szCs w:val="24"/>
        </w:rPr>
        <w:t xml:space="preserve">son </w:t>
      </w:r>
      <w:r w:rsidR="007F4036" w:rsidRPr="00EE005B">
        <w:rPr>
          <w:rFonts w:cs="Times New Roman"/>
          <w:b/>
          <w:szCs w:val="24"/>
        </w:rPr>
        <w:t>caractère</w:t>
      </w:r>
      <w:r>
        <w:rPr>
          <w:rFonts w:cs="Times New Roman"/>
          <w:b/>
          <w:szCs w:val="24"/>
        </w:rPr>
        <w:t xml:space="preserve"> social,</w:t>
      </w:r>
      <w:r w:rsidR="007F4036" w:rsidRPr="00EE005B">
        <w:rPr>
          <w:rFonts w:cs="Times New Roman"/>
          <w:b/>
          <w:szCs w:val="24"/>
        </w:rPr>
        <w:t xml:space="preserve"> inter-individu</w:t>
      </w:r>
      <w:r>
        <w:rPr>
          <w:rFonts w:cs="Times New Roman"/>
          <w:b/>
          <w:szCs w:val="24"/>
        </w:rPr>
        <w:t xml:space="preserve">, et même « personnel » </w:t>
      </w:r>
      <w:r w:rsidRPr="00ED0492">
        <w:rPr>
          <w:rFonts w:cs="Times New Roman"/>
          <w:szCs w:val="24"/>
        </w:rPr>
        <w:t>de la relation financière.</w:t>
      </w:r>
      <w:r w:rsidRPr="00EE005B">
        <w:rPr>
          <w:rFonts w:cs="Times New Roman"/>
          <w:szCs w:val="24"/>
        </w:rPr>
        <w:t xml:space="preserve"> </w:t>
      </w:r>
      <w:r>
        <w:rPr>
          <w:rFonts w:cs="Times New Roman"/>
          <w:szCs w:val="24"/>
        </w:rPr>
        <w:t>Ces caractères fon</w:t>
      </w:r>
      <w:r w:rsidR="007F4036" w:rsidRPr="00EE005B">
        <w:rPr>
          <w:rFonts w:cs="Times New Roman"/>
          <w:szCs w:val="24"/>
        </w:rPr>
        <w:t xml:space="preserve">t référence à des </w:t>
      </w:r>
      <w:r w:rsidR="007F4036" w:rsidRPr="00EE005B">
        <w:rPr>
          <w:rFonts w:cs="Times New Roman"/>
          <w:b/>
          <w:szCs w:val="24"/>
        </w:rPr>
        <w:t>relations « proches »</w:t>
      </w:r>
      <w:r w:rsidR="007F4036" w:rsidRPr="00EE005B">
        <w:rPr>
          <w:rFonts w:cs="Times New Roman"/>
          <w:szCs w:val="24"/>
        </w:rPr>
        <w:t xml:space="preserve"> entre agents, même s’ils sont organisés en groupe ou sont demandeurs de financement en nom propre, et d’appréhender leur caractère familier et fréquent et non pas affectif, prosaïque</w:t>
      </w:r>
      <w:r w:rsidR="007F4036" w:rsidRPr="00EE005B">
        <w:rPr>
          <w:rFonts w:cs="Times New Roman"/>
          <w:b/>
          <w:szCs w:val="24"/>
        </w:rPr>
        <w:t xml:space="preserve"> </w:t>
      </w:r>
      <w:r w:rsidR="007F4036" w:rsidRPr="00EE005B">
        <w:rPr>
          <w:rFonts w:cs="Times New Roman"/>
          <w:szCs w:val="24"/>
        </w:rPr>
        <w:t>et individuel. La relation établit un lien entre deux individus et non deux agents économiques</w:t>
      </w:r>
      <w:r w:rsidR="0045420A">
        <w:rPr>
          <w:rStyle w:val="FootnoteReference"/>
          <w:rFonts w:cs="Times New Roman"/>
          <w:szCs w:val="24"/>
        </w:rPr>
        <w:footnoteReference w:id="12"/>
      </w:r>
      <w:r w:rsidR="007F4036" w:rsidRPr="00EE005B">
        <w:rPr>
          <w:rFonts w:cs="Times New Roman"/>
          <w:szCs w:val="24"/>
        </w:rPr>
        <w:t xml:space="preserve">, et ce pour deux raisons essentielles. Le financeur est avant tout perçu </w:t>
      </w:r>
      <w:r w:rsidR="007F4036" w:rsidRPr="00EE005B">
        <w:rPr>
          <w:rFonts w:cs="Times New Roman"/>
          <w:i/>
          <w:szCs w:val="24"/>
        </w:rPr>
        <w:t>via</w:t>
      </w:r>
      <w:r w:rsidR="007F4036" w:rsidRPr="00EE005B">
        <w:rPr>
          <w:rFonts w:cs="Times New Roman"/>
          <w:szCs w:val="24"/>
        </w:rPr>
        <w:t xml:space="preserve"> l’individu ou comme individu, et non comme représentant d’une institution. En cela, la relation est interpersonnelle. Elle est de plus personnelle car l’individu financeur est souvent issu de la communauté cliente. Dans tous les cas, il établit et maintient des liens étroits par des échanges très réguliers qui souvent soit se réalisent à l’occasion de moments spécifiques de la vie de la communauté ou deviennent eux-mêmes des moments privilégiés de constitution ou renforcement de liens sociaux entre membres de la communauté ou entre plusieurs individus.</w:t>
      </w:r>
    </w:p>
    <w:p w:rsidR="007F4036" w:rsidRPr="00EE005B" w:rsidRDefault="007F4036" w:rsidP="007F4036">
      <w:pPr>
        <w:jc w:val="both"/>
        <w:rPr>
          <w:rFonts w:cs="Times New Roman"/>
          <w:szCs w:val="24"/>
        </w:rPr>
      </w:pPr>
      <w:r w:rsidRPr="00EE005B">
        <w:rPr>
          <w:rFonts w:cs="Times New Roman"/>
          <w:szCs w:val="24"/>
        </w:rPr>
        <w:t xml:space="preserve">Certes, </w:t>
      </w:r>
      <w:r w:rsidRPr="00EE005B">
        <w:rPr>
          <w:rFonts w:cs="Times New Roman"/>
          <w:b/>
          <w:szCs w:val="24"/>
        </w:rPr>
        <w:t>l’agent financeur</w:t>
      </w:r>
      <w:r w:rsidRPr="00EE005B">
        <w:rPr>
          <w:rFonts w:cs="Times New Roman"/>
          <w:szCs w:val="24"/>
        </w:rPr>
        <w:t xml:space="preserve"> a une charge, remplit une fonction économique, mais elle</w:t>
      </w:r>
      <w:r w:rsidRPr="00EE005B">
        <w:rPr>
          <w:rFonts w:cs="Times New Roman"/>
          <w:b/>
          <w:szCs w:val="24"/>
        </w:rPr>
        <w:t xml:space="preserve"> ne prend forme </w:t>
      </w:r>
      <w:r w:rsidRPr="00EE005B">
        <w:rPr>
          <w:rFonts w:cs="Times New Roman"/>
          <w:szCs w:val="24"/>
        </w:rPr>
        <w:t xml:space="preserve">qu’à la </w:t>
      </w:r>
      <w:r w:rsidRPr="00EE005B">
        <w:rPr>
          <w:rFonts w:cs="Times New Roman"/>
          <w:b/>
          <w:szCs w:val="24"/>
        </w:rPr>
        <w:t xml:space="preserve">seule condition qu’il soit </w:t>
      </w:r>
      <w:r w:rsidRPr="00EE005B">
        <w:rPr>
          <w:rFonts w:cs="Times New Roman"/>
          <w:szCs w:val="24"/>
        </w:rPr>
        <w:t>bien et reste</w:t>
      </w:r>
      <w:r w:rsidRPr="00EE005B">
        <w:rPr>
          <w:rFonts w:cs="Times New Roman"/>
          <w:b/>
          <w:szCs w:val="24"/>
        </w:rPr>
        <w:t xml:space="preserve"> un individu social </w:t>
      </w:r>
      <w:r w:rsidRPr="00EE005B">
        <w:rPr>
          <w:rFonts w:cs="Times New Roman"/>
          <w:szCs w:val="24"/>
        </w:rPr>
        <w:t xml:space="preserve">dont les liens sociaux sont une des qualités intrinsèques à l’exercice de son activité (doit-on s’interdire ici l’usage du terme « métier » car il pourrait signifier une idée de spécialisation ?). Dans le contexte qui nous intéresse, la notion de lien social renvoie à une réalité « consistante » et liée à la </w:t>
      </w:r>
      <w:r w:rsidRPr="00EE005B">
        <w:rPr>
          <w:rFonts w:cs="Times New Roman"/>
          <w:b/>
          <w:szCs w:val="24"/>
        </w:rPr>
        <w:t>familiarité</w:t>
      </w:r>
      <w:r w:rsidRPr="00EE005B">
        <w:rPr>
          <w:rFonts w:cs="Times New Roman"/>
          <w:szCs w:val="24"/>
        </w:rPr>
        <w:t>, non à des liens virtuels dimensionnés pour de simples échanges d’informations ou des finalités spécifiques. Le couple financeur-financé dépasse alors la simple mise en relation d’individus économiques, il s’inscrit dans une relation sociale avant tout.</w:t>
      </w:r>
    </w:p>
    <w:p w:rsidR="007F4036" w:rsidRPr="00EE005B" w:rsidRDefault="007F4036" w:rsidP="007F4036">
      <w:pPr>
        <w:jc w:val="both"/>
        <w:rPr>
          <w:rFonts w:cs="Times New Roman"/>
          <w:szCs w:val="24"/>
        </w:rPr>
      </w:pPr>
      <w:r w:rsidRPr="00EE005B">
        <w:rPr>
          <w:rFonts w:cs="Times New Roman"/>
          <w:szCs w:val="24"/>
        </w:rPr>
        <w:t>Rappelons que la familiarité fait état d’une « […] grande intimité née de rapports constants et habitudes », d’une « […] connaissance parfaite de quelque chose qui s’acquiert par l’usage, l’expérience » (Le Larousse). En effet, cette familiarité est journalière, établie et entretenue par la place prépondérante des communautés dans les populations où s’est développée la finance informelle et la microfinance. La place et/ou le rôle des familles, des clans, des communautés induisent une vie en collectivité. Cette collectivité s’appuie et nourrit la vie au quotidien avec des fêtes, des évènements voire des rites. Elle ensache les activités économiques, y compris celle de financement. Lelart (2005, p 35) souligne à quel point :</w:t>
      </w:r>
    </w:p>
    <w:p w:rsidR="007F4036" w:rsidRPr="00EE005B" w:rsidRDefault="007F4036" w:rsidP="007F4036">
      <w:pPr>
        <w:ind w:left="567" w:firstLine="0"/>
        <w:jc w:val="both"/>
        <w:rPr>
          <w:rFonts w:cs="Times New Roman"/>
          <w:sz w:val="22"/>
          <w:szCs w:val="24"/>
        </w:rPr>
      </w:pPr>
      <w:r w:rsidRPr="00EE005B">
        <w:rPr>
          <w:rFonts w:cs="Times New Roman"/>
          <w:sz w:val="22"/>
          <w:szCs w:val="24"/>
        </w:rPr>
        <w:t>« […] ce qui caractérise le mieux la finance informelle, c’est que les relations entre les débiteurs et les créanciers sont des relations personnelles. Non seulement, ils se connaissent, le plus souvent, mais les opérations financières qu’ils font ensemble sont encastrées dans leurs relations sociales. ».</w:t>
      </w:r>
    </w:p>
    <w:p w:rsidR="007F4036" w:rsidRPr="00EE005B" w:rsidRDefault="007F4036" w:rsidP="007F4036">
      <w:pPr>
        <w:jc w:val="both"/>
        <w:rPr>
          <w:rFonts w:cs="Times New Roman"/>
          <w:szCs w:val="24"/>
        </w:rPr>
      </w:pPr>
      <w:r w:rsidRPr="00EE005B">
        <w:rPr>
          <w:rFonts w:cs="Times New Roman"/>
          <w:szCs w:val="24"/>
        </w:rPr>
        <w:t>Il poursuit en précisant que cette finance « […] repose à la fois sur la solidarité et sur la réciprocité ». Ces dernières sont induites par la familiarité. Une familiarité qui par effet de ricochet est intégrée et doit être intégrée dans la relation financeur-financé. À ce jour, la microfinance ne semble pas avoir rompu de manière ferme et flagrante avec la prise en compte de cette caractéristique et du mode de fonctionnement qui lui est attaché.</w:t>
      </w:r>
    </w:p>
    <w:p w:rsidR="007F4036" w:rsidRPr="00EE005B" w:rsidRDefault="007F4036" w:rsidP="007F4036">
      <w:pPr>
        <w:jc w:val="both"/>
        <w:rPr>
          <w:rFonts w:cs="Times New Roman"/>
          <w:szCs w:val="24"/>
        </w:rPr>
      </w:pPr>
      <w:r w:rsidRPr="00EE005B">
        <w:rPr>
          <w:rFonts w:cs="Times New Roman"/>
          <w:szCs w:val="24"/>
        </w:rPr>
        <w:t xml:space="preserve">Indubitablement, de tels traits de qualification de la relation financeur-financé supposent une organisation et un fonctionnement </w:t>
      </w:r>
      <w:r w:rsidRPr="00EE005B">
        <w:rPr>
          <w:rFonts w:cs="Times New Roman"/>
          <w:b/>
          <w:szCs w:val="24"/>
        </w:rPr>
        <w:t>où le temps et la disponibilité sont majeurs</w:t>
      </w:r>
      <w:r w:rsidRPr="00EE005B">
        <w:rPr>
          <w:rFonts w:cs="Times New Roman"/>
          <w:szCs w:val="24"/>
        </w:rPr>
        <w:t>, mais aussi et peut être surtout où des actes et/ou activités non strictement liés à la chose financière constituent un enjeu primordial. En effet, il est reconnu que les représentants des IMF organisent des « tournées » hebdomadaires pour rencontrer leurs clients, récolter leurs dépôts ou remboursements, qui sont la base de leur succès et de leur rentabilité… Ce qui est souvent aussi l’occasion de faire un point sur l’activité, la situation « personnelle » (étroitement interdépendante) et prodiguer conseils, soutiens, et aides aux formalités quand il y en a. L’optimisation du temps, la rationalité des tâches semblent alors bien loin de l’organisation en place.</w:t>
      </w:r>
    </w:p>
    <w:p w:rsidR="007F4036" w:rsidRDefault="00B52177" w:rsidP="00A6374F">
      <w:pPr>
        <w:jc w:val="both"/>
        <w:rPr>
          <w:rFonts w:cs="Times New Roman"/>
        </w:rPr>
      </w:pPr>
      <w:r>
        <w:rPr>
          <w:rFonts w:cs="Times New Roman"/>
        </w:rPr>
        <w:t>Bien entendu, « familiarité » et « proximité » nous ramène</w:t>
      </w:r>
      <w:r w:rsidR="00A46009">
        <w:rPr>
          <w:rFonts w:cs="Times New Roman"/>
        </w:rPr>
        <w:t>nt</w:t>
      </w:r>
      <w:r>
        <w:rPr>
          <w:rFonts w:cs="Times New Roman"/>
        </w:rPr>
        <w:t xml:space="preserve"> à l’idéal-type du bricoleur et à son mode de pensée spécifique, alors que « formel » et « distance » nous ramène à l’idéal-type de l’ingénieur. Comment ces agents peuvent-ils interagir et établir des relations </w:t>
      </w:r>
      <w:r w:rsidRPr="00726BE0">
        <w:rPr>
          <w:rFonts w:cs="Times New Roman"/>
        </w:rPr>
        <w:t>économiques</w:t>
      </w:r>
      <w:r w:rsidR="00CF5BE7" w:rsidRPr="00726BE0">
        <w:rPr>
          <w:rFonts w:cs="Times New Roman"/>
        </w:rPr>
        <w:t xml:space="preserve"> et sociales</w:t>
      </w:r>
      <w:r w:rsidRPr="00726BE0">
        <w:rPr>
          <w:rFonts w:cs="Times New Roman"/>
        </w:rPr>
        <w:t> ?</w:t>
      </w:r>
    </w:p>
    <w:p w:rsidR="007F4036" w:rsidRPr="00A6374F" w:rsidRDefault="007F4036" w:rsidP="00B52177">
      <w:pPr>
        <w:ind w:firstLine="0"/>
        <w:jc w:val="both"/>
        <w:rPr>
          <w:rFonts w:cs="Times New Roman"/>
        </w:rPr>
      </w:pPr>
    </w:p>
    <w:p w:rsidR="00E92ACD" w:rsidRPr="00726BE0" w:rsidRDefault="0040004A" w:rsidP="0067375C">
      <w:pPr>
        <w:pStyle w:val="ListParagraph"/>
        <w:numPr>
          <w:ilvl w:val="1"/>
          <w:numId w:val="9"/>
        </w:numPr>
        <w:ind w:left="425" w:hanging="425"/>
        <w:contextualSpacing w:val="0"/>
        <w:rPr>
          <w:rFonts w:eastAsia="Times New Roman" w:cs="Times New Roman"/>
          <w:b/>
          <w:i/>
          <w:szCs w:val="24"/>
        </w:rPr>
      </w:pPr>
      <w:r w:rsidRPr="00726BE0">
        <w:rPr>
          <w:rFonts w:eastAsia="Times New Roman" w:cs="Times New Roman"/>
          <w:b/>
          <w:i/>
          <w:szCs w:val="24"/>
        </w:rPr>
        <w:t>Quand le bricoleur et l’ingénieur devien</w:t>
      </w:r>
      <w:r w:rsidR="00CF15A3" w:rsidRPr="00726BE0">
        <w:rPr>
          <w:rFonts w:eastAsia="Times New Roman" w:cs="Times New Roman"/>
          <w:b/>
          <w:i/>
          <w:szCs w:val="24"/>
        </w:rPr>
        <w:t>nen</w:t>
      </w:r>
      <w:r w:rsidRPr="00726BE0">
        <w:rPr>
          <w:rFonts w:eastAsia="Times New Roman" w:cs="Times New Roman"/>
          <w:b/>
          <w:i/>
          <w:szCs w:val="24"/>
        </w:rPr>
        <w:t>t des agents économiques financeurs ou financés</w:t>
      </w:r>
    </w:p>
    <w:p w:rsidR="00E63B5E" w:rsidRPr="00B52177" w:rsidRDefault="00E63B5E" w:rsidP="00B52177">
      <w:pPr>
        <w:ind w:firstLine="0"/>
        <w:jc w:val="both"/>
        <w:rPr>
          <w:rFonts w:cs="Times New Roman"/>
        </w:rPr>
      </w:pPr>
      <w:r w:rsidRPr="00B52177">
        <w:rPr>
          <w:rFonts w:cs="Times New Roman"/>
          <w:szCs w:val="24"/>
        </w:rPr>
        <w:t xml:space="preserve">Les </w:t>
      </w:r>
      <w:r w:rsidR="00B52177" w:rsidRPr="00B52177">
        <w:rPr>
          <w:rFonts w:eastAsia="Times New Roman" w:cs="Times New Roman"/>
          <w:szCs w:val="24"/>
        </w:rPr>
        <w:t>idéaux-types</w:t>
      </w:r>
      <w:r w:rsidRPr="00B52177">
        <w:rPr>
          <w:rFonts w:eastAsia="Times New Roman" w:cs="Times New Roman"/>
          <w:szCs w:val="24"/>
        </w:rPr>
        <w:t xml:space="preserve"> permettent de lire différemment les comportements des agents économiques et d’envisager autrement leur mode d’agir. Que serait la lecture de ces derniers si on appliquait ces mêmes idéaux-types aux financeurs et aux financés ?</w:t>
      </w:r>
    </w:p>
    <w:p w:rsidR="00E967DE" w:rsidRDefault="007C3A26" w:rsidP="00C7129A">
      <w:pPr>
        <w:jc w:val="both"/>
        <w:rPr>
          <w:rFonts w:eastAsia="Times New Roman" w:cs="Times New Roman"/>
          <w:szCs w:val="24"/>
        </w:rPr>
      </w:pPr>
      <w:r>
        <w:rPr>
          <w:rFonts w:eastAsia="Times New Roman" w:cs="Times New Roman"/>
          <w:szCs w:val="24"/>
        </w:rPr>
        <w:t xml:space="preserve">Un </w:t>
      </w:r>
      <w:r w:rsidRPr="00A80D9F">
        <w:rPr>
          <w:rFonts w:eastAsia="Times New Roman" w:cs="Times New Roman"/>
          <w:b/>
          <w:szCs w:val="24"/>
        </w:rPr>
        <w:t>financé bricoleur</w:t>
      </w:r>
      <w:r>
        <w:rPr>
          <w:rFonts w:eastAsia="Times New Roman" w:cs="Times New Roman"/>
          <w:szCs w:val="24"/>
        </w:rPr>
        <w:t xml:space="preserve"> envisage </w:t>
      </w:r>
      <w:r w:rsidRPr="00E967DE">
        <w:rPr>
          <w:rFonts w:eastAsia="Times New Roman" w:cs="Times New Roman"/>
          <w:b/>
          <w:szCs w:val="24"/>
        </w:rPr>
        <w:t>un projet avant toute chose sur la base de son stock</w:t>
      </w:r>
      <w:r w:rsidR="00DB7B3D" w:rsidRPr="00E967DE">
        <w:rPr>
          <w:rFonts w:eastAsia="Times New Roman" w:cs="Times New Roman"/>
          <w:b/>
          <w:szCs w:val="24"/>
        </w:rPr>
        <w:t xml:space="preserve"> de ressources</w:t>
      </w:r>
      <w:r w:rsidRPr="00E967DE">
        <w:rPr>
          <w:rFonts w:eastAsia="Times New Roman" w:cs="Times New Roman"/>
          <w:b/>
          <w:szCs w:val="24"/>
        </w:rPr>
        <w:t xml:space="preserve"> entendu comme un monde fermé</w:t>
      </w:r>
      <w:r w:rsidR="00DB7B3D">
        <w:rPr>
          <w:rFonts w:eastAsia="Times New Roman" w:cs="Times New Roman"/>
          <w:szCs w:val="24"/>
        </w:rPr>
        <w:t xml:space="preserve">, et non comme celui ouvert d’un financé ingénieur. </w:t>
      </w:r>
      <w:r w:rsidR="008138CB" w:rsidRPr="008138CB">
        <w:rPr>
          <w:rFonts w:eastAsia="Times New Roman" w:cs="Times New Roman"/>
          <w:b/>
          <w:szCs w:val="24"/>
        </w:rPr>
        <w:t>Polyvalent</w:t>
      </w:r>
      <w:r w:rsidR="00CF15A3">
        <w:rPr>
          <w:rFonts w:eastAsia="Times New Roman" w:cs="Times New Roman"/>
          <w:szCs w:val="24"/>
        </w:rPr>
        <w:t>,</w:t>
      </w:r>
      <w:r w:rsidR="00DB7B3D">
        <w:rPr>
          <w:rFonts w:eastAsia="Times New Roman" w:cs="Times New Roman"/>
          <w:szCs w:val="24"/>
        </w:rPr>
        <w:t xml:space="preserve"> il « fera avec » ce qu’il a à portée de mains, </w:t>
      </w:r>
      <w:r w:rsidR="00047C85">
        <w:rPr>
          <w:rFonts w:eastAsia="Times New Roman" w:cs="Times New Roman"/>
          <w:szCs w:val="24"/>
        </w:rPr>
        <w:t xml:space="preserve">avec de plus le fait qu’il considère la </w:t>
      </w:r>
      <w:r w:rsidR="00047C85" w:rsidRPr="00E967DE">
        <w:rPr>
          <w:rFonts w:eastAsia="Times New Roman" w:cs="Times New Roman"/>
          <w:b/>
          <w:szCs w:val="24"/>
        </w:rPr>
        <w:t>ressource financière équivalente à une autre</w:t>
      </w:r>
      <w:r w:rsidR="00047C85">
        <w:rPr>
          <w:rFonts w:eastAsia="Times New Roman" w:cs="Times New Roman"/>
          <w:szCs w:val="24"/>
        </w:rPr>
        <w:t xml:space="preserve">, n’étant qu’un intermédiaire pour obtenir les objets matériels ou immatériels dont il a besoin. </w:t>
      </w:r>
      <w:r w:rsidR="00BC759B">
        <w:rPr>
          <w:rFonts w:eastAsia="Times New Roman" w:cs="Times New Roman"/>
          <w:szCs w:val="24"/>
        </w:rPr>
        <w:t xml:space="preserve">La monétisation des coûts et recettes de son projet, et encore moins de sa rentabilité n’est pas une nécessité intrinsèque à sa démarche. Ni la simple idée d’un </w:t>
      </w:r>
      <w:r w:rsidR="00BC759B" w:rsidRPr="00B52177">
        <w:rPr>
          <w:rFonts w:eastAsia="Times New Roman" w:cs="Times New Roman"/>
          <w:i/>
          <w:szCs w:val="24"/>
        </w:rPr>
        <w:t>business plan</w:t>
      </w:r>
      <w:r w:rsidR="00BC759B">
        <w:rPr>
          <w:rFonts w:eastAsia="Times New Roman" w:cs="Times New Roman"/>
          <w:szCs w:val="24"/>
        </w:rPr>
        <w:t>, et encore moins sa formulation</w:t>
      </w:r>
      <w:r w:rsidR="00B52177">
        <w:rPr>
          <w:rFonts w:eastAsia="Times New Roman" w:cs="Times New Roman"/>
          <w:szCs w:val="24"/>
        </w:rPr>
        <w:t xml:space="preserve"> ne font</w:t>
      </w:r>
      <w:r w:rsidR="00BC759B">
        <w:rPr>
          <w:rFonts w:eastAsia="Times New Roman" w:cs="Times New Roman"/>
          <w:szCs w:val="24"/>
        </w:rPr>
        <w:t xml:space="preserve"> partie</w:t>
      </w:r>
      <w:r w:rsidR="00454AB8">
        <w:rPr>
          <w:rFonts w:eastAsia="Times New Roman" w:cs="Times New Roman"/>
          <w:szCs w:val="24"/>
        </w:rPr>
        <w:t xml:space="preserve"> des</w:t>
      </w:r>
      <w:r w:rsidR="00BC759B">
        <w:rPr>
          <w:rFonts w:eastAsia="Times New Roman" w:cs="Times New Roman"/>
          <w:szCs w:val="24"/>
        </w:rPr>
        <w:t xml:space="preserve"> pratiques du financé et ce à l’opposé d’un financé ingénieur. Pour le financé bricoleur, l’enjeu est </w:t>
      </w:r>
      <w:r w:rsidR="00E967DE">
        <w:rPr>
          <w:rFonts w:eastAsia="Times New Roman" w:cs="Times New Roman"/>
          <w:szCs w:val="24"/>
        </w:rPr>
        <w:t xml:space="preserve">que </w:t>
      </w:r>
      <w:r w:rsidR="00BC759B">
        <w:rPr>
          <w:rFonts w:eastAsia="Times New Roman" w:cs="Times New Roman"/>
          <w:szCs w:val="24"/>
        </w:rPr>
        <w:t>son projet fonctionne, « que cela marche »</w:t>
      </w:r>
      <w:r w:rsidR="00E967DE">
        <w:rPr>
          <w:rFonts w:eastAsia="Times New Roman" w:cs="Times New Roman"/>
          <w:szCs w:val="24"/>
        </w:rPr>
        <w:t xml:space="preserve">, qu’il génère des </w:t>
      </w:r>
      <w:r w:rsidR="00BC759B">
        <w:rPr>
          <w:rFonts w:eastAsia="Times New Roman" w:cs="Times New Roman"/>
          <w:szCs w:val="24"/>
        </w:rPr>
        <w:t xml:space="preserve">recettes </w:t>
      </w:r>
      <w:r w:rsidR="00E967DE">
        <w:rPr>
          <w:rFonts w:eastAsia="Times New Roman" w:cs="Times New Roman"/>
          <w:szCs w:val="24"/>
        </w:rPr>
        <w:t>assurant la survie de son initiateur –</w:t>
      </w:r>
      <w:r w:rsidR="00B52177">
        <w:rPr>
          <w:rFonts w:eastAsia="Times New Roman" w:cs="Times New Roman"/>
          <w:szCs w:val="24"/>
        </w:rPr>
        <w:t xml:space="preserve"> </w:t>
      </w:r>
      <w:r w:rsidR="00E967DE">
        <w:rPr>
          <w:rFonts w:eastAsia="Times New Roman" w:cs="Times New Roman"/>
          <w:szCs w:val="24"/>
        </w:rPr>
        <w:t xml:space="preserve">et généralement aussi </w:t>
      </w:r>
      <w:r w:rsidR="00B52177">
        <w:rPr>
          <w:rFonts w:eastAsia="Times New Roman" w:cs="Times New Roman"/>
          <w:szCs w:val="24"/>
        </w:rPr>
        <w:t>de sa famille –</w:t>
      </w:r>
      <w:r w:rsidR="00E967DE">
        <w:rPr>
          <w:rFonts w:eastAsia="Times New Roman" w:cs="Times New Roman"/>
          <w:szCs w:val="24"/>
        </w:rPr>
        <w:t xml:space="preserve"> </w:t>
      </w:r>
      <w:r w:rsidR="00BC759B">
        <w:rPr>
          <w:rFonts w:eastAsia="Times New Roman" w:cs="Times New Roman"/>
          <w:szCs w:val="24"/>
        </w:rPr>
        <w:t xml:space="preserve">et de rembourser les </w:t>
      </w:r>
      <w:r w:rsidR="00E967DE">
        <w:rPr>
          <w:rFonts w:eastAsia="Times New Roman" w:cs="Times New Roman"/>
          <w:szCs w:val="24"/>
        </w:rPr>
        <w:t>échéances</w:t>
      </w:r>
      <w:r w:rsidR="00B52177">
        <w:rPr>
          <w:rFonts w:eastAsia="Times New Roman" w:cs="Times New Roman"/>
          <w:szCs w:val="24"/>
        </w:rPr>
        <w:t>.</w:t>
      </w:r>
      <w:r w:rsidR="00BC759B">
        <w:rPr>
          <w:rFonts w:eastAsia="Times New Roman" w:cs="Times New Roman"/>
          <w:szCs w:val="24"/>
        </w:rPr>
        <w:t xml:space="preserve"> </w:t>
      </w:r>
      <w:r w:rsidR="00E967DE">
        <w:rPr>
          <w:rFonts w:eastAsia="Times New Roman" w:cs="Times New Roman"/>
          <w:szCs w:val="24"/>
        </w:rPr>
        <w:t xml:space="preserve">De </w:t>
      </w:r>
      <w:r w:rsidR="00047C85">
        <w:rPr>
          <w:rFonts w:eastAsia="Times New Roman" w:cs="Times New Roman"/>
          <w:szCs w:val="24"/>
        </w:rPr>
        <w:t>fait, la ressource financière est un moyen comme un autre, mais ne se présentera pas comme une solution de f</w:t>
      </w:r>
      <w:r w:rsidR="003A4EB2">
        <w:rPr>
          <w:rFonts w:eastAsia="Times New Roman" w:cs="Times New Roman"/>
          <w:szCs w:val="24"/>
        </w:rPr>
        <w:t>acilités puisqu’il faudr</w:t>
      </w:r>
      <w:r w:rsidR="00E967DE">
        <w:rPr>
          <w:rFonts w:eastAsia="Times New Roman" w:cs="Times New Roman"/>
          <w:szCs w:val="24"/>
        </w:rPr>
        <w:t>a ensuite convertir cet argent en</w:t>
      </w:r>
      <w:r w:rsidR="003A4EB2">
        <w:rPr>
          <w:rFonts w:eastAsia="Times New Roman" w:cs="Times New Roman"/>
          <w:szCs w:val="24"/>
        </w:rPr>
        <w:t xml:space="preserve"> ressources nécessaires. En conséquence, même si initialement, la ressource financière est une </w:t>
      </w:r>
      <w:r w:rsidR="003A4EB2" w:rsidRPr="00E967DE">
        <w:rPr>
          <w:rFonts w:eastAsia="Times New Roman" w:cs="Times New Roman"/>
          <w:b/>
          <w:szCs w:val="24"/>
        </w:rPr>
        <w:t>ressource financière</w:t>
      </w:r>
      <w:r w:rsidR="003A4EB2">
        <w:rPr>
          <w:rFonts w:eastAsia="Times New Roman" w:cs="Times New Roman"/>
          <w:szCs w:val="24"/>
        </w:rPr>
        <w:t xml:space="preserve"> comme une autre, elle s’avéra de fait la dernière option envisagée. Elle reste une </w:t>
      </w:r>
      <w:r w:rsidR="003A4EB2" w:rsidRPr="00E967DE">
        <w:rPr>
          <w:rFonts w:eastAsia="Times New Roman" w:cs="Times New Roman"/>
          <w:b/>
          <w:szCs w:val="24"/>
        </w:rPr>
        <w:t>solution par défaut</w:t>
      </w:r>
      <w:r w:rsidR="003A4EB2">
        <w:rPr>
          <w:rFonts w:eastAsia="Times New Roman" w:cs="Times New Roman"/>
          <w:szCs w:val="24"/>
        </w:rPr>
        <w:t xml:space="preserve">. Elle est d’autant une solution par défaut qu’elle suppose une extraction du financé de son monde, ce qui ne relève pas de ses </w:t>
      </w:r>
      <w:r w:rsidR="003A4EB2" w:rsidRPr="00B52177">
        <w:rPr>
          <w:rFonts w:eastAsia="Times New Roman" w:cs="Times New Roman"/>
          <w:szCs w:val="24"/>
        </w:rPr>
        <w:t xml:space="preserve">préférences. </w:t>
      </w:r>
      <w:r w:rsidR="00681711" w:rsidRPr="00B52177">
        <w:rPr>
          <w:rFonts w:eastAsia="Times New Roman" w:cs="Times New Roman"/>
          <w:szCs w:val="24"/>
        </w:rPr>
        <w:t>Si d’aventures</w:t>
      </w:r>
      <w:r w:rsidR="00681711">
        <w:rPr>
          <w:rFonts w:eastAsia="Times New Roman" w:cs="Times New Roman"/>
          <w:szCs w:val="24"/>
        </w:rPr>
        <w:t xml:space="preserve">, il recourt toutefois au </w:t>
      </w:r>
      <w:r w:rsidR="00681711" w:rsidRPr="00E967DE">
        <w:rPr>
          <w:rFonts w:eastAsia="Times New Roman" w:cs="Times New Roman"/>
          <w:b/>
          <w:szCs w:val="24"/>
        </w:rPr>
        <w:t>financement</w:t>
      </w:r>
      <w:r w:rsidR="00681711">
        <w:rPr>
          <w:rFonts w:eastAsia="Times New Roman" w:cs="Times New Roman"/>
          <w:szCs w:val="24"/>
        </w:rPr>
        <w:t xml:space="preserve">, il </w:t>
      </w:r>
      <w:r w:rsidR="008138CB">
        <w:rPr>
          <w:rFonts w:eastAsia="Times New Roman" w:cs="Times New Roman"/>
          <w:szCs w:val="24"/>
        </w:rPr>
        <w:t>privilégiera</w:t>
      </w:r>
      <w:r w:rsidR="00E967DE">
        <w:rPr>
          <w:rFonts w:eastAsia="Times New Roman" w:cs="Times New Roman"/>
          <w:szCs w:val="24"/>
        </w:rPr>
        <w:t xml:space="preserve"> </w:t>
      </w:r>
      <w:r w:rsidR="008138CB">
        <w:rPr>
          <w:rFonts w:eastAsia="Times New Roman" w:cs="Times New Roman"/>
          <w:szCs w:val="24"/>
        </w:rPr>
        <w:t xml:space="preserve">le canal qui lui permettre de retrouver autant que possible des </w:t>
      </w:r>
      <w:r w:rsidR="00E967DE">
        <w:rPr>
          <w:rFonts w:eastAsia="Times New Roman" w:cs="Times New Roman"/>
          <w:szCs w:val="24"/>
        </w:rPr>
        <w:t xml:space="preserve">éléments familiers, ces caractères familiers </w:t>
      </w:r>
      <w:r w:rsidR="008138CB">
        <w:rPr>
          <w:rFonts w:eastAsia="Times New Roman" w:cs="Times New Roman"/>
          <w:szCs w:val="24"/>
        </w:rPr>
        <w:t xml:space="preserve">restant </w:t>
      </w:r>
      <w:r w:rsidR="00E967DE">
        <w:rPr>
          <w:rFonts w:eastAsia="Times New Roman" w:cs="Times New Roman"/>
          <w:szCs w:val="24"/>
        </w:rPr>
        <w:t>largement prépondérant</w:t>
      </w:r>
      <w:r w:rsidR="008138CB">
        <w:rPr>
          <w:rFonts w:eastAsia="Times New Roman" w:cs="Times New Roman"/>
          <w:szCs w:val="24"/>
        </w:rPr>
        <w:t>s</w:t>
      </w:r>
      <w:r w:rsidR="00E967DE">
        <w:rPr>
          <w:rFonts w:eastAsia="Times New Roman" w:cs="Times New Roman"/>
          <w:szCs w:val="24"/>
        </w:rPr>
        <w:t xml:space="preserve"> sur la question du prix du service rendu.</w:t>
      </w:r>
    </w:p>
    <w:p w:rsidR="00867DF3" w:rsidRDefault="00740B59" w:rsidP="00C7129A">
      <w:pPr>
        <w:jc w:val="both"/>
        <w:rPr>
          <w:rFonts w:eastAsia="Times New Roman" w:cs="Times New Roman"/>
          <w:szCs w:val="24"/>
        </w:rPr>
      </w:pPr>
      <w:r w:rsidRPr="00740B59">
        <w:rPr>
          <w:rFonts w:eastAsia="Times New Roman" w:cs="Times New Roman"/>
          <w:szCs w:val="24"/>
        </w:rPr>
        <w:t xml:space="preserve">Pour sa part, le </w:t>
      </w:r>
      <w:r w:rsidRPr="003A27E7">
        <w:rPr>
          <w:rFonts w:eastAsia="Times New Roman" w:cs="Times New Roman"/>
          <w:b/>
          <w:szCs w:val="24"/>
        </w:rPr>
        <w:t>financé ingénieur</w:t>
      </w:r>
      <w:r w:rsidR="00C73DC2">
        <w:rPr>
          <w:rFonts w:eastAsia="Times New Roman" w:cs="Times New Roman"/>
          <w:szCs w:val="24"/>
        </w:rPr>
        <w:t xml:space="preserve"> a une démarche en termes de projet qui est tout autre. Le projet s’appuie sur une véritable projection dans le temps : en termes de coûts, de recettes, de rentabilité, de capacités de remboursement, … Le financé ingénieur </w:t>
      </w:r>
      <w:r w:rsidR="006C70C9">
        <w:rPr>
          <w:rFonts w:eastAsia="Times New Roman" w:cs="Times New Roman"/>
          <w:szCs w:val="24"/>
        </w:rPr>
        <w:t xml:space="preserve">raisonne dans un </w:t>
      </w:r>
      <w:r w:rsidR="006C70C9" w:rsidRPr="003A27E7">
        <w:rPr>
          <w:rFonts w:eastAsia="Times New Roman" w:cs="Times New Roman"/>
          <w:b/>
          <w:szCs w:val="24"/>
        </w:rPr>
        <w:t>monde ouvert</w:t>
      </w:r>
      <w:r w:rsidR="006C70C9">
        <w:rPr>
          <w:rFonts w:eastAsia="Times New Roman" w:cs="Times New Roman"/>
          <w:szCs w:val="24"/>
        </w:rPr>
        <w:t xml:space="preserve"> où</w:t>
      </w:r>
      <w:r w:rsidR="00C73DC2">
        <w:rPr>
          <w:rFonts w:eastAsia="Times New Roman" w:cs="Times New Roman"/>
          <w:szCs w:val="24"/>
        </w:rPr>
        <w:t xml:space="preserve"> </w:t>
      </w:r>
      <w:r w:rsidR="00C73DC2" w:rsidRPr="003A27E7">
        <w:rPr>
          <w:rFonts w:eastAsia="Times New Roman" w:cs="Times New Roman"/>
          <w:b/>
          <w:szCs w:val="24"/>
        </w:rPr>
        <w:t>la ressource financière accroît l’ouverture de son monde</w:t>
      </w:r>
      <w:r w:rsidR="00C73DC2">
        <w:rPr>
          <w:rFonts w:eastAsia="Times New Roman" w:cs="Times New Roman"/>
          <w:szCs w:val="24"/>
        </w:rPr>
        <w:t>. L</w:t>
      </w:r>
      <w:r w:rsidR="006C70C9">
        <w:rPr>
          <w:rFonts w:eastAsia="Times New Roman" w:cs="Times New Roman"/>
          <w:szCs w:val="24"/>
        </w:rPr>
        <w:t>e</w:t>
      </w:r>
      <w:r w:rsidR="003A27E7">
        <w:rPr>
          <w:rFonts w:eastAsia="Times New Roman" w:cs="Times New Roman"/>
          <w:szCs w:val="24"/>
        </w:rPr>
        <w:t xml:space="preserve"> champ des</w:t>
      </w:r>
      <w:r w:rsidR="006C70C9">
        <w:rPr>
          <w:rFonts w:eastAsia="Times New Roman" w:cs="Times New Roman"/>
          <w:szCs w:val="24"/>
        </w:rPr>
        <w:t xml:space="preserve"> possibles </w:t>
      </w:r>
      <w:r w:rsidR="003A27E7">
        <w:rPr>
          <w:rFonts w:eastAsia="Times New Roman" w:cs="Times New Roman"/>
          <w:szCs w:val="24"/>
        </w:rPr>
        <w:t xml:space="preserve">s’élargit d’autant que </w:t>
      </w:r>
      <w:r w:rsidR="006C70C9">
        <w:rPr>
          <w:rFonts w:eastAsia="Times New Roman" w:cs="Times New Roman"/>
          <w:szCs w:val="24"/>
        </w:rPr>
        <w:t xml:space="preserve">la ressource financière particulièrement bien acceptée dans le monde de l’ingénieur </w:t>
      </w:r>
      <w:r w:rsidR="003A27E7">
        <w:rPr>
          <w:rFonts w:eastAsia="Times New Roman" w:cs="Times New Roman"/>
          <w:szCs w:val="24"/>
        </w:rPr>
        <w:t>se révèle comme une véritable porte d’accès aux ressources</w:t>
      </w:r>
      <w:r w:rsidR="006C70C9">
        <w:rPr>
          <w:rFonts w:eastAsia="Times New Roman" w:cs="Times New Roman"/>
          <w:szCs w:val="24"/>
        </w:rPr>
        <w:t xml:space="preserve">. Ce mode de raisonnement et d’agir </w:t>
      </w:r>
      <w:r w:rsidR="00A80D9F">
        <w:rPr>
          <w:rFonts w:eastAsia="Times New Roman" w:cs="Times New Roman"/>
          <w:szCs w:val="24"/>
        </w:rPr>
        <w:t xml:space="preserve">s’appuie </w:t>
      </w:r>
      <w:r w:rsidR="006C70C9">
        <w:rPr>
          <w:rFonts w:eastAsia="Times New Roman" w:cs="Times New Roman"/>
          <w:szCs w:val="24"/>
        </w:rPr>
        <w:t xml:space="preserve">sur une conception d’un monde ouvert </w:t>
      </w:r>
      <w:r w:rsidR="00A80D9F">
        <w:rPr>
          <w:rFonts w:eastAsia="Times New Roman" w:cs="Times New Roman"/>
          <w:szCs w:val="24"/>
        </w:rPr>
        <w:t xml:space="preserve">rendu nécessaire par le fait que </w:t>
      </w:r>
      <w:r w:rsidR="006C70C9">
        <w:rPr>
          <w:rFonts w:eastAsia="Times New Roman" w:cs="Times New Roman"/>
          <w:szCs w:val="24"/>
        </w:rPr>
        <w:t>le financé</w:t>
      </w:r>
      <w:r w:rsidR="003A27E7">
        <w:rPr>
          <w:rFonts w:eastAsia="Times New Roman" w:cs="Times New Roman"/>
          <w:szCs w:val="24"/>
        </w:rPr>
        <w:t xml:space="preserve"> </w:t>
      </w:r>
      <w:r w:rsidR="006C70C9">
        <w:rPr>
          <w:rFonts w:eastAsia="Times New Roman" w:cs="Times New Roman"/>
          <w:szCs w:val="24"/>
        </w:rPr>
        <w:t xml:space="preserve">ingénieur est un </w:t>
      </w:r>
      <w:r w:rsidR="006C70C9" w:rsidRPr="003A27E7">
        <w:rPr>
          <w:rFonts w:eastAsia="Times New Roman" w:cs="Times New Roman"/>
          <w:b/>
          <w:szCs w:val="24"/>
        </w:rPr>
        <w:t>spécialiste</w:t>
      </w:r>
      <w:r w:rsidR="006C70C9">
        <w:rPr>
          <w:rFonts w:eastAsia="Times New Roman" w:cs="Times New Roman"/>
          <w:szCs w:val="24"/>
        </w:rPr>
        <w:t> : or un spécialiste a forcément besoin d’autrui et doit donc pouvoir accéder à d’autres spécialistes détenteurs d’autres types d</w:t>
      </w:r>
      <w:r w:rsidR="003A27E7">
        <w:rPr>
          <w:rFonts w:eastAsia="Times New Roman" w:cs="Times New Roman"/>
          <w:szCs w:val="24"/>
        </w:rPr>
        <w:t>e ressources.</w:t>
      </w:r>
      <w:r w:rsidR="00A80D9F">
        <w:rPr>
          <w:rFonts w:eastAsia="Times New Roman" w:cs="Times New Roman"/>
          <w:szCs w:val="24"/>
        </w:rPr>
        <w:t xml:space="preserve"> </w:t>
      </w:r>
      <w:r w:rsidR="008651DC">
        <w:rPr>
          <w:rFonts w:eastAsia="Times New Roman" w:cs="Times New Roman"/>
          <w:szCs w:val="24"/>
        </w:rPr>
        <w:t xml:space="preserve">Certes, la familiarité reste une zone de confort, mais elle n’est pas un critère clef de préférence dans les choix qui se présentent au financé ingénieur. Entre spécialistes, d’autres modes de fonctionnement se mettent en place où </w:t>
      </w:r>
      <w:r w:rsidR="008651DC">
        <w:t>conscient</w:t>
      </w:r>
      <w:r w:rsidR="00191033">
        <w:t xml:space="preserve"> de </w:t>
      </w:r>
      <w:r w:rsidR="00191033" w:rsidRPr="00191033">
        <w:rPr>
          <w:rFonts w:eastAsia="Times New Roman" w:cs="Times New Roman"/>
          <w:szCs w:val="24"/>
        </w:rPr>
        <w:t>leur polyvalence restreinte</w:t>
      </w:r>
      <w:r w:rsidR="008651DC">
        <w:rPr>
          <w:rFonts w:eastAsia="Times New Roman" w:cs="Times New Roman"/>
          <w:szCs w:val="24"/>
        </w:rPr>
        <w:t xml:space="preserve"> comme de la nécessité d’être capable de rechercher des ressources au-delà de leur monde habituel. Le financé ingénieur utilisent les </w:t>
      </w:r>
      <w:r w:rsidR="00A80D9F">
        <w:rPr>
          <w:rFonts w:eastAsia="Times New Roman" w:cs="Times New Roman"/>
          <w:szCs w:val="24"/>
        </w:rPr>
        <w:t xml:space="preserve">références communes largement monétisées </w:t>
      </w:r>
      <w:r w:rsidR="008651DC">
        <w:rPr>
          <w:rFonts w:eastAsia="Times New Roman" w:cs="Times New Roman"/>
          <w:szCs w:val="24"/>
        </w:rPr>
        <w:t xml:space="preserve">comme les seuils </w:t>
      </w:r>
      <w:r w:rsidR="00191033">
        <w:rPr>
          <w:rFonts w:eastAsia="Times New Roman" w:cs="Times New Roman"/>
          <w:szCs w:val="24"/>
        </w:rPr>
        <w:t xml:space="preserve">de </w:t>
      </w:r>
      <w:r w:rsidR="00A80D9F">
        <w:rPr>
          <w:rFonts w:eastAsia="Times New Roman" w:cs="Times New Roman"/>
          <w:szCs w:val="24"/>
        </w:rPr>
        <w:t>rentabilité</w:t>
      </w:r>
      <w:r w:rsidR="00B057E1">
        <w:rPr>
          <w:rFonts w:eastAsia="Times New Roman" w:cs="Times New Roman"/>
          <w:szCs w:val="24"/>
        </w:rPr>
        <w:t xml:space="preserve">, </w:t>
      </w:r>
      <w:r w:rsidR="00191033">
        <w:rPr>
          <w:rFonts w:eastAsia="Times New Roman" w:cs="Times New Roman"/>
          <w:szCs w:val="24"/>
        </w:rPr>
        <w:t>de tableaux d’amortissement, </w:t>
      </w:r>
      <w:r w:rsidR="008651DC">
        <w:rPr>
          <w:rFonts w:eastAsia="Times New Roman" w:cs="Times New Roman"/>
          <w:szCs w:val="24"/>
        </w:rPr>
        <w:t xml:space="preserve">les </w:t>
      </w:r>
      <w:r w:rsidR="008651DC" w:rsidRPr="00B52177">
        <w:rPr>
          <w:rFonts w:eastAsia="Times New Roman" w:cs="Times New Roman"/>
          <w:i/>
          <w:szCs w:val="24"/>
        </w:rPr>
        <w:t>business plan</w:t>
      </w:r>
      <w:r w:rsidR="008651DC">
        <w:rPr>
          <w:rFonts w:eastAsia="Times New Roman" w:cs="Times New Roman"/>
          <w:szCs w:val="24"/>
        </w:rPr>
        <w:t xml:space="preserve">, et s’appuient sur des échanges et </w:t>
      </w:r>
      <w:r w:rsidR="00191033">
        <w:rPr>
          <w:rFonts w:eastAsia="Times New Roman" w:cs="Times New Roman"/>
          <w:szCs w:val="24"/>
        </w:rPr>
        <w:t xml:space="preserve">pratiques </w:t>
      </w:r>
      <w:r w:rsidR="008651DC">
        <w:rPr>
          <w:rFonts w:eastAsia="Times New Roman" w:cs="Times New Roman"/>
          <w:szCs w:val="24"/>
        </w:rPr>
        <w:t xml:space="preserve">largement </w:t>
      </w:r>
      <w:r w:rsidR="00B057E1">
        <w:rPr>
          <w:rFonts w:eastAsia="Times New Roman" w:cs="Times New Roman"/>
          <w:szCs w:val="24"/>
        </w:rPr>
        <w:t>contractualisées.</w:t>
      </w:r>
    </w:p>
    <w:p w:rsidR="00867DF3" w:rsidRDefault="00867DF3" w:rsidP="00C7129A">
      <w:pPr>
        <w:jc w:val="both"/>
        <w:rPr>
          <w:rFonts w:eastAsia="Times New Roman" w:cs="Times New Roman"/>
          <w:szCs w:val="24"/>
        </w:rPr>
      </w:pPr>
      <w:r>
        <w:rPr>
          <w:rFonts w:eastAsia="Times New Roman" w:cs="Times New Roman"/>
          <w:szCs w:val="24"/>
        </w:rPr>
        <w:t>Ces idéaux-type de financés posés</w:t>
      </w:r>
      <w:r w:rsidR="00B52177">
        <w:rPr>
          <w:rFonts w:eastAsia="Times New Roman" w:cs="Times New Roman"/>
          <w:szCs w:val="24"/>
        </w:rPr>
        <w:t>, nous pouvons déjà entrevoir dans quelle catégorie se situe les agents à besoin de financement des PVD ! Abordons maintenant, les traits des financeurs à</w:t>
      </w:r>
      <w:r>
        <w:rPr>
          <w:rFonts w:eastAsia="Times New Roman" w:cs="Times New Roman"/>
          <w:szCs w:val="24"/>
        </w:rPr>
        <w:t xml:space="preserve"> travers de cette même grille d’analyse</w:t>
      </w:r>
      <w:r w:rsidR="00B52177">
        <w:rPr>
          <w:rFonts w:eastAsia="Times New Roman" w:cs="Times New Roman"/>
          <w:szCs w:val="24"/>
        </w:rPr>
        <w:t xml:space="preserve"> du couple </w:t>
      </w:r>
      <w:r w:rsidR="00EF48FD">
        <w:rPr>
          <w:rFonts w:eastAsia="Times New Roman" w:cs="Times New Roman"/>
          <w:szCs w:val="24"/>
        </w:rPr>
        <w:t xml:space="preserve">bricoleur- </w:t>
      </w:r>
      <w:r w:rsidR="00B52177">
        <w:rPr>
          <w:rFonts w:eastAsia="Times New Roman" w:cs="Times New Roman"/>
          <w:szCs w:val="24"/>
        </w:rPr>
        <w:t>ingénieur.</w:t>
      </w:r>
    </w:p>
    <w:p w:rsidR="00454AB8" w:rsidRDefault="00976EFD" w:rsidP="00C7129A">
      <w:pPr>
        <w:jc w:val="both"/>
        <w:rPr>
          <w:rFonts w:eastAsia="Times New Roman" w:cs="Times New Roman"/>
          <w:szCs w:val="24"/>
        </w:rPr>
      </w:pPr>
      <w:r>
        <w:rPr>
          <w:rFonts w:eastAsia="Times New Roman" w:cs="Times New Roman"/>
          <w:szCs w:val="24"/>
        </w:rPr>
        <w:t xml:space="preserve">Un </w:t>
      </w:r>
      <w:r w:rsidRPr="007F3C77">
        <w:rPr>
          <w:rFonts w:eastAsia="Times New Roman" w:cs="Times New Roman"/>
          <w:b/>
          <w:szCs w:val="24"/>
        </w:rPr>
        <w:t>financeur bricoleur</w:t>
      </w:r>
      <w:r>
        <w:rPr>
          <w:rFonts w:eastAsia="Times New Roman" w:cs="Times New Roman"/>
          <w:szCs w:val="24"/>
        </w:rPr>
        <w:t xml:space="preserve"> n’est </w:t>
      </w:r>
      <w:r w:rsidRPr="007F3C77">
        <w:rPr>
          <w:rFonts w:eastAsia="Times New Roman" w:cs="Times New Roman"/>
          <w:b/>
          <w:szCs w:val="24"/>
        </w:rPr>
        <w:t>pas un spécialiste</w:t>
      </w:r>
      <w:r>
        <w:rPr>
          <w:rFonts w:eastAsia="Times New Roman" w:cs="Times New Roman"/>
          <w:szCs w:val="24"/>
        </w:rPr>
        <w:t xml:space="preserve"> de la fonction de financeur : il l’est ponctuellement ou de manière complémentaires à d’autres activités.</w:t>
      </w:r>
      <w:r w:rsidR="00AF1F45">
        <w:rPr>
          <w:rFonts w:eastAsia="Times New Roman" w:cs="Times New Roman"/>
          <w:szCs w:val="24"/>
        </w:rPr>
        <w:t xml:space="preserve"> C’est en fait souvent</w:t>
      </w:r>
      <w:r w:rsidR="007F3C77">
        <w:rPr>
          <w:rFonts w:eastAsia="Times New Roman" w:cs="Times New Roman"/>
          <w:szCs w:val="24"/>
        </w:rPr>
        <w:t xml:space="preserve"> dans le cadre de relations –</w:t>
      </w:r>
      <w:r w:rsidR="00B52177">
        <w:rPr>
          <w:rFonts w:eastAsia="Times New Roman" w:cs="Times New Roman"/>
          <w:szCs w:val="24"/>
        </w:rPr>
        <w:t xml:space="preserve"> </w:t>
      </w:r>
      <w:r w:rsidR="007F3C77">
        <w:rPr>
          <w:rFonts w:eastAsia="Times New Roman" w:cs="Times New Roman"/>
          <w:szCs w:val="24"/>
        </w:rPr>
        <w:t xml:space="preserve">et donc d’un </w:t>
      </w:r>
      <w:r w:rsidR="007F3C77" w:rsidRPr="007F3C77">
        <w:rPr>
          <w:rFonts w:eastAsia="Times New Roman" w:cs="Times New Roman"/>
          <w:b/>
          <w:szCs w:val="24"/>
        </w:rPr>
        <w:t>monde assez fermé</w:t>
      </w:r>
      <w:r w:rsidR="007F3C77">
        <w:rPr>
          <w:rFonts w:eastAsia="Times New Roman" w:cs="Times New Roman"/>
          <w:szCs w:val="24"/>
        </w:rPr>
        <w:t xml:space="preserve"> et</w:t>
      </w:r>
      <w:r w:rsidR="00B52177">
        <w:rPr>
          <w:rFonts w:eastAsia="Times New Roman" w:cs="Times New Roman"/>
          <w:szCs w:val="24"/>
        </w:rPr>
        <w:t xml:space="preserve"> de liens ou échanges familiers –</w:t>
      </w:r>
      <w:r w:rsidR="007F3C77">
        <w:rPr>
          <w:rFonts w:eastAsia="Times New Roman" w:cs="Times New Roman"/>
          <w:szCs w:val="24"/>
        </w:rPr>
        <w:t xml:space="preserve"> qu’il concède à prêter de l’argent. Non spécialiste, son </w:t>
      </w:r>
      <w:r w:rsidR="007F3C77" w:rsidRPr="007F3C77">
        <w:rPr>
          <w:rFonts w:eastAsia="Times New Roman" w:cs="Times New Roman"/>
          <w:b/>
          <w:szCs w:val="24"/>
        </w:rPr>
        <w:t>enjeu n’est pas tant le gain</w:t>
      </w:r>
      <w:r w:rsidR="007F3C77">
        <w:rPr>
          <w:rFonts w:eastAsia="Times New Roman" w:cs="Times New Roman"/>
          <w:szCs w:val="24"/>
        </w:rPr>
        <w:t xml:space="preserve"> que la garantie de récupérer le capital prêté. Non spécialiste, il ne s’appuie pas sur des éléments contractuels importants. Il </w:t>
      </w:r>
      <w:r w:rsidR="007F3C77" w:rsidRPr="007F3C77">
        <w:rPr>
          <w:rFonts w:eastAsia="Times New Roman" w:cs="Times New Roman"/>
          <w:b/>
          <w:szCs w:val="24"/>
        </w:rPr>
        <w:t>contractualise le minimum et le plus simplement possible</w:t>
      </w:r>
      <w:r w:rsidR="007F3C77">
        <w:rPr>
          <w:rFonts w:eastAsia="Times New Roman" w:cs="Times New Roman"/>
          <w:szCs w:val="24"/>
        </w:rPr>
        <w:t>.</w:t>
      </w:r>
    </w:p>
    <w:p w:rsidR="00A22D95" w:rsidRDefault="00403EE3" w:rsidP="00A22D95">
      <w:pPr>
        <w:ind w:firstLine="0"/>
        <w:jc w:val="both"/>
        <w:rPr>
          <w:rFonts w:eastAsia="Times New Roman" w:cs="Times New Roman"/>
          <w:szCs w:val="24"/>
        </w:rPr>
      </w:pPr>
      <w:r>
        <w:rPr>
          <w:rFonts w:eastAsia="Times New Roman" w:cs="Times New Roman"/>
          <w:szCs w:val="24"/>
        </w:rPr>
        <w:t xml:space="preserve">De son côté, un </w:t>
      </w:r>
      <w:r w:rsidRPr="00403EE3">
        <w:rPr>
          <w:rFonts w:eastAsia="Times New Roman" w:cs="Times New Roman"/>
          <w:b/>
          <w:szCs w:val="24"/>
        </w:rPr>
        <w:t>financeur ingénieur</w:t>
      </w:r>
      <w:r>
        <w:rPr>
          <w:rFonts w:eastAsia="Times New Roman" w:cs="Times New Roman"/>
          <w:szCs w:val="24"/>
        </w:rPr>
        <w:t xml:space="preserve"> a un </w:t>
      </w:r>
      <w:r w:rsidRPr="00403EE3">
        <w:rPr>
          <w:rFonts w:eastAsia="Times New Roman" w:cs="Times New Roman"/>
          <w:b/>
          <w:szCs w:val="24"/>
        </w:rPr>
        <w:t>fort degré de spécialisation</w:t>
      </w:r>
      <w:r>
        <w:rPr>
          <w:rFonts w:eastAsia="Times New Roman" w:cs="Times New Roman"/>
          <w:szCs w:val="24"/>
        </w:rPr>
        <w:t xml:space="preserve"> dans son domaine. Son enjeu est d’évaluer le potentiel de rentabilité de son activité et d’assurer que cette </w:t>
      </w:r>
      <w:r w:rsidRPr="00D301E3">
        <w:rPr>
          <w:rFonts w:eastAsia="Times New Roman" w:cs="Times New Roman"/>
          <w:b/>
          <w:szCs w:val="24"/>
        </w:rPr>
        <w:t>rentabilité</w:t>
      </w:r>
      <w:r>
        <w:rPr>
          <w:rFonts w:eastAsia="Times New Roman" w:cs="Times New Roman"/>
          <w:szCs w:val="24"/>
        </w:rPr>
        <w:t xml:space="preserve"> soit la meilleure possible</w:t>
      </w:r>
      <w:r w:rsidR="00A22D95">
        <w:rPr>
          <w:rFonts w:eastAsia="Times New Roman" w:cs="Times New Roman"/>
          <w:szCs w:val="24"/>
        </w:rPr>
        <w:t xml:space="preserve">. </w:t>
      </w:r>
    </w:p>
    <w:p w:rsidR="00403EE3" w:rsidRPr="00DD7DA9" w:rsidRDefault="00403EE3" w:rsidP="00C7129A">
      <w:pPr>
        <w:jc w:val="both"/>
        <w:rPr>
          <w:rFonts w:eastAsia="Times New Roman" w:cs="Times New Roman"/>
          <w:szCs w:val="24"/>
        </w:rPr>
      </w:pPr>
      <w:r>
        <w:rPr>
          <w:rFonts w:eastAsia="Times New Roman" w:cs="Times New Roman"/>
          <w:szCs w:val="24"/>
        </w:rPr>
        <w:t xml:space="preserve">. Son </w:t>
      </w:r>
      <w:r w:rsidRPr="00403EE3">
        <w:rPr>
          <w:rFonts w:eastAsia="Times New Roman" w:cs="Times New Roman"/>
          <w:b/>
          <w:szCs w:val="24"/>
        </w:rPr>
        <w:t>stock est infini</w:t>
      </w:r>
      <w:r>
        <w:rPr>
          <w:rFonts w:eastAsia="Times New Roman" w:cs="Times New Roman"/>
          <w:szCs w:val="24"/>
        </w:rPr>
        <w:t xml:space="preserve"> car il peut recourir aux marchés financiers aisément et étendre son champ des possibles (et ceci sans même parler de la création monétaire). Reculer régulièrement ce champ des possibles semble même être caractéristique de ce financeur ingénieur.</w:t>
      </w:r>
      <w:r w:rsidR="00D301E3">
        <w:rPr>
          <w:rFonts w:eastAsia="Times New Roman" w:cs="Times New Roman"/>
          <w:szCs w:val="24"/>
        </w:rPr>
        <w:t xml:space="preserve"> La </w:t>
      </w:r>
      <w:r w:rsidR="00D301E3" w:rsidRPr="00AF1F45">
        <w:rPr>
          <w:rFonts w:eastAsia="Times New Roman" w:cs="Times New Roman"/>
          <w:b/>
          <w:szCs w:val="24"/>
        </w:rPr>
        <w:t>familiarité n’a pas lieu d’être</w:t>
      </w:r>
      <w:r w:rsidR="00D301E3">
        <w:rPr>
          <w:rFonts w:eastAsia="Times New Roman" w:cs="Times New Roman"/>
          <w:szCs w:val="24"/>
        </w:rPr>
        <w:t xml:space="preserve"> ni dans la relation avec le financé, ni dans ses relations avec ses </w:t>
      </w:r>
      <w:r w:rsidR="00746445">
        <w:rPr>
          <w:rFonts w:eastAsia="Times New Roman" w:cs="Times New Roman"/>
          <w:szCs w:val="24"/>
        </w:rPr>
        <w:t>« </w:t>
      </w:r>
      <w:r w:rsidR="00AF1F45">
        <w:rPr>
          <w:rFonts w:eastAsia="Times New Roman" w:cs="Times New Roman"/>
          <w:szCs w:val="24"/>
        </w:rPr>
        <w:t>f</w:t>
      </w:r>
      <w:r w:rsidR="00D301E3">
        <w:rPr>
          <w:rFonts w:eastAsia="Times New Roman" w:cs="Times New Roman"/>
          <w:szCs w:val="24"/>
        </w:rPr>
        <w:t>ournisseurs</w:t>
      </w:r>
      <w:r w:rsidR="00746445">
        <w:rPr>
          <w:rFonts w:eastAsia="Times New Roman" w:cs="Times New Roman"/>
          <w:szCs w:val="24"/>
        </w:rPr>
        <w:t> »</w:t>
      </w:r>
      <w:r w:rsidR="00D301E3">
        <w:rPr>
          <w:rFonts w:eastAsia="Times New Roman" w:cs="Times New Roman"/>
          <w:szCs w:val="24"/>
        </w:rPr>
        <w:t xml:space="preserve">. </w:t>
      </w:r>
      <w:r w:rsidR="00EC21B1">
        <w:rPr>
          <w:rFonts w:eastAsia="Times New Roman" w:cs="Times New Roman"/>
          <w:szCs w:val="24"/>
        </w:rPr>
        <w:t>L</w:t>
      </w:r>
      <w:r w:rsidR="00D301E3">
        <w:rPr>
          <w:rFonts w:eastAsia="Times New Roman" w:cs="Times New Roman"/>
          <w:szCs w:val="24"/>
        </w:rPr>
        <w:t xml:space="preserve">a contractualisation et un </w:t>
      </w:r>
      <w:r w:rsidR="00D301E3" w:rsidRPr="00AF1F45">
        <w:rPr>
          <w:rFonts w:eastAsia="Times New Roman" w:cs="Times New Roman"/>
          <w:b/>
          <w:szCs w:val="24"/>
        </w:rPr>
        <w:t>haut degré de formalisme</w:t>
      </w:r>
      <w:r w:rsidR="00D301E3">
        <w:rPr>
          <w:rFonts w:eastAsia="Times New Roman" w:cs="Times New Roman"/>
          <w:szCs w:val="24"/>
        </w:rPr>
        <w:t xml:space="preserve"> gouverne</w:t>
      </w:r>
      <w:r w:rsidR="00AF1F45">
        <w:rPr>
          <w:rFonts w:eastAsia="Times New Roman" w:cs="Times New Roman"/>
          <w:szCs w:val="24"/>
        </w:rPr>
        <w:t>nt</w:t>
      </w:r>
      <w:r w:rsidR="00D301E3">
        <w:rPr>
          <w:rFonts w:eastAsia="Times New Roman" w:cs="Times New Roman"/>
          <w:szCs w:val="24"/>
        </w:rPr>
        <w:t xml:space="preserve"> ses </w:t>
      </w:r>
      <w:r w:rsidR="00D301E3" w:rsidRPr="00DD7DA9">
        <w:rPr>
          <w:rFonts w:eastAsia="Times New Roman" w:cs="Times New Roman"/>
          <w:szCs w:val="24"/>
        </w:rPr>
        <w:t>activités.</w:t>
      </w:r>
      <w:r w:rsidR="00A22D95" w:rsidRPr="00DD7DA9">
        <w:rPr>
          <w:rFonts w:eastAsia="Times New Roman" w:cs="Times New Roman"/>
          <w:szCs w:val="24"/>
        </w:rPr>
        <w:t xml:space="preserve"> De fait, les projets atypiques nécessitent des institutions spécifiques car ils échappent à la logique du financeur ingénieur en terme</w:t>
      </w:r>
      <w:r w:rsidR="001F017D" w:rsidRPr="00DD7DA9">
        <w:rPr>
          <w:rFonts w:eastAsia="Times New Roman" w:cs="Times New Roman"/>
          <w:szCs w:val="24"/>
        </w:rPr>
        <w:t>s</w:t>
      </w:r>
      <w:r w:rsidR="00A22D95" w:rsidRPr="00DD7DA9">
        <w:rPr>
          <w:rFonts w:eastAsia="Times New Roman" w:cs="Times New Roman"/>
          <w:szCs w:val="24"/>
        </w:rPr>
        <w:t xml:space="preserve"> de rentabilité et de formalisme.</w:t>
      </w:r>
    </w:p>
    <w:p w:rsidR="00E857D9" w:rsidRPr="00643946" w:rsidRDefault="00E857D9" w:rsidP="00E857D9">
      <w:pPr>
        <w:spacing w:line="240" w:lineRule="auto"/>
        <w:ind w:firstLine="0"/>
        <w:jc w:val="center"/>
        <w:rPr>
          <w:rFonts w:eastAsia="Times New Roman" w:cs="Times New Roman"/>
          <w:b/>
          <w:szCs w:val="24"/>
        </w:rPr>
      </w:pPr>
      <w:r>
        <w:rPr>
          <w:rFonts w:eastAsia="Times New Roman" w:cs="Times New Roman"/>
          <w:b/>
          <w:szCs w:val="24"/>
        </w:rPr>
        <w:t>Tableau n°2</w:t>
      </w:r>
    </w:p>
    <w:p w:rsidR="00E857D9" w:rsidRPr="00643946" w:rsidRDefault="00E857D9" w:rsidP="00E857D9">
      <w:pPr>
        <w:spacing w:line="240" w:lineRule="auto"/>
        <w:ind w:firstLine="0"/>
        <w:jc w:val="center"/>
        <w:rPr>
          <w:rFonts w:eastAsia="Times New Roman" w:cs="Times New Roman"/>
          <w:b/>
          <w:szCs w:val="24"/>
        </w:rPr>
      </w:pPr>
      <w:r w:rsidRPr="00643946">
        <w:rPr>
          <w:rFonts w:eastAsia="Times New Roman" w:cs="Times New Roman"/>
          <w:b/>
          <w:szCs w:val="24"/>
        </w:rPr>
        <w:t>Les idéaux-types de l’ingénieur et du bricoleur</w:t>
      </w:r>
      <w:r>
        <w:rPr>
          <w:rFonts w:eastAsia="Times New Roman" w:cs="Times New Roman"/>
          <w:b/>
          <w:szCs w:val="24"/>
        </w:rPr>
        <w:t xml:space="preserve"> en tant que financeur ou financé</w:t>
      </w:r>
    </w:p>
    <w:tbl>
      <w:tblPr>
        <w:tblStyle w:val="TableGrid"/>
        <w:tblW w:w="9640" w:type="dxa"/>
        <w:tblInd w:w="-318" w:type="dxa"/>
        <w:tblLayout w:type="fixed"/>
        <w:tblCellMar>
          <w:top w:w="57" w:type="dxa"/>
          <w:bottom w:w="57" w:type="dxa"/>
        </w:tblCellMar>
        <w:tblLook w:val="04A0" w:firstRow="1" w:lastRow="0" w:firstColumn="1" w:lastColumn="0" w:noHBand="0" w:noVBand="1"/>
      </w:tblPr>
      <w:tblGrid>
        <w:gridCol w:w="1702"/>
        <w:gridCol w:w="1984"/>
        <w:gridCol w:w="1985"/>
        <w:gridCol w:w="1984"/>
        <w:gridCol w:w="1985"/>
      </w:tblGrid>
      <w:tr w:rsidR="00E857D9" w:rsidRPr="00CF5BE7" w:rsidTr="00E9204D">
        <w:tc>
          <w:tcPr>
            <w:tcW w:w="1702" w:type="dxa"/>
            <w:tcBorders>
              <w:left w:val="single" w:sz="4" w:space="0" w:color="auto"/>
              <w:bottom w:val="nil"/>
            </w:tcBorders>
            <w:shd w:val="clear" w:color="auto" w:fill="F2F2F2" w:themeFill="background1" w:themeFillShade="F2"/>
            <w:vAlign w:val="bottom"/>
          </w:tcPr>
          <w:p w:rsidR="00E857D9" w:rsidRPr="00E9204D" w:rsidRDefault="00E9204D" w:rsidP="00E9204D">
            <w:pPr>
              <w:spacing w:after="0" w:line="240" w:lineRule="auto"/>
              <w:ind w:firstLine="0"/>
              <w:jc w:val="center"/>
              <w:rPr>
                <w:rFonts w:cs="Times New Roman"/>
                <w:b/>
                <w:sz w:val="20"/>
                <w:szCs w:val="20"/>
              </w:rPr>
            </w:pPr>
            <w:r w:rsidRPr="00E9204D">
              <w:rPr>
                <w:rFonts w:cs="Times New Roman"/>
                <w:b/>
                <w:sz w:val="20"/>
                <w:szCs w:val="20"/>
              </w:rPr>
              <w:t>Caractéristiques</w:t>
            </w:r>
          </w:p>
        </w:tc>
        <w:tc>
          <w:tcPr>
            <w:tcW w:w="3969" w:type="dxa"/>
            <w:gridSpan w:val="2"/>
            <w:shd w:val="clear" w:color="auto" w:fill="F2F2F2" w:themeFill="background1" w:themeFillShade="F2"/>
            <w:vAlign w:val="center"/>
          </w:tcPr>
          <w:p w:rsidR="00E857D9" w:rsidRPr="00CF5BE7" w:rsidRDefault="00E857D9" w:rsidP="00E9204D">
            <w:pPr>
              <w:spacing w:after="0" w:line="240" w:lineRule="auto"/>
              <w:ind w:firstLine="0"/>
              <w:jc w:val="center"/>
              <w:rPr>
                <w:rFonts w:cs="Times New Roman"/>
                <w:b/>
                <w:sz w:val="20"/>
                <w:szCs w:val="20"/>
              </w:rPr>
            </w:pPr>
            <w:r w:rsidRPr="00CF5BE7">
              <w:rPr>
                <w:rFonts w:cs="Times New Roman"/>
                <w:b/>
                <w:sz w:val="20"/>
                <w:szCs w:val="20"/>
              </w:rPr>
              <w:t>Financé</w:t>
            </w:r>
          </w:p>
        </w:tc>
        <w:tc>
          <w:tcPr>
            <w:tcW w:w="3969" w:type="dxa"/>
            <w:gridSpan w:val="2"/>
            <w:shd w:val="clear" w:color="auto" w:fill="F2F2F2" w:themeFill="background1" w:themeFillShade="F2"/>
            <w:vAlign w:val="center"/>
          </w:tcPr>
          <w:p w:rsidR="00E857D9" w:rsidRPr="00CF5BE7" w:rsidRDefault="00E857D9" w:rsidP="00E9204D">
            <w:pPr>
              <w:spacing w:after="0" w:line="240" w:lineRule="auto"/>
              <w:ind w:firstLine="0"/>
              <w:jc w:val="center"/>
              <w:rPr>
                <w:rFonts w:cs="Times New Roman"/>
                <w:b/>
                <w:sz w:val="20"/>
                <w:szCs w:val="20"/>
              </w:rPr>
            </w:pPr>
            <w:r w:rsidRPr="00CF5BE7">
              <w:rPr>
                <w:rFonts w:cs="Times New Roman"/>
                <w:b/>
                <w:sz w:val="20"/>
                <w:szCs w:val="20"/>
              </w:rPr>
              <w:t>Financeur</w:t>
            </w:r>
          </w:p>
        </w:tc>
      </w:tr>
      <w:tr w:rsidR="00E857D9" w:rsidRPr="00E857D9" w:rsidTr="00E9204D">
        <w:tc>
          <w:tcPr>
            <w:tcW w:w="1702" w:type="dxa"/>
            <w:tcBorders>
              <w:top w:val="nil"/>
              <w:left w:val="single" w:sz="4" w:space="0" w:color="auto"/>
            </w:tcBorders>
            <w:shd w:val="clear" w:color="auto" w:fill="F2F2F2" w:themeFill="background1" w:themeFillShade="F2"/>
          </w:tcPr>
          <w:p w:rsidR="00E857D9" w:rsidRPr="00E9204D" w:rsidRDefault="008F7807" w:rsidP="00E9204D">
            <w:pPr>
              <w:spacing w:after="0" w:line="240" w:lineRule="auto"/>
              <w:ind w:firstLine="0"/>
              <w:jc w:val="center"/>
              <w:rPr>
                <w:rFonts w:cs="Times New Roman"/>
                <w:b/>
                <w:sz w:val="20"/>
                <w:szCs w:val="20"/>
              </w:rPr>
            </w:pPr>
            <w:r w:rsidRPr="00E9204D">
              <w:rPr>
                <w:rFonts w:cs="Times New Roman"/>
                <w:b/>
                <w:sz w:val="20"/>
                <w:szCs w:val="20"/>
              </w:rPr>
              <w:t>des idéaux types</w:t>
            </w:r>
          </w:p>
        </w:tc>
        <w:tc>
          <w:tcPr>
            <w:tcW w:w="1984" w:type="dxa"/>
            <w:shd w:val="clear" w:color="auto" w:fill="F2F2F2" w:themeFill="background1" w:themeFillShade="F2"/>
            <w:vAlign w:val="center"/>
          </w:tcPr>
          <w:p w:rsidR="00E857D9" w:rsidRPr="00CF5BE7" w:rsidRDefault="00E857D9" w:rsidP="00E9204D">
            <w:pPr>
              <w:spacing w:after="0" w:line="240" w:lineRule="auto"/>
              <w:ind w:firstLine="0"/>
              <w:jc w:val="center"/>
              <w:rPr>
                <w:rFonts w:cs="Times New Roman"/>
                <w:b/>
                <w:sz w:val="20"/>
                <w:szCs w:val="20"/>
              </w:rPr>
            </w:pPr>
            <w:r w:rsidRPr="00CF5BE7">
              <w:rPr>
                <w:rFonts w:cs="Times New Roman"/>
                <w:b/>
                <w:sz w:val="20"/>
                <w:szCs w:val="20"/>
              </w:rPr>
              <w:t>Financé ingénieur</w:t>
            </w:r>
          </w:p>
        </w:tc>
        <w:tc>
          <w:tcPr>
            <w:tcW w:w="1985" w:type="dxa"/>
            <w:shd w:val="clear" w:color="auto" w:fill="F2F2F2" w:themeFill="background1" w:themeFillShade="F2"/>
            <w:vAlign w:val="center"/>
          </w:tcPr>
          <w:p w:rsidR="00E857D9" w:rsidRPr="00CF5BE7" w:rsidRDefault="00E857D9" w:rsidP="00E9204D">
            <w:pPr>
              <w:spacing w:after="0" w:line="240" w:lineRule="auto"/>
              <w:ind w:firstLine="0"/>
              <w:jc w:val="center"/>
              <w:rPr>
                <w:rFonts w:cs="Times New Roman"/>
                <w:b/>
                <w:sz w:val="20"/>
                <w:szCs w:val="20"/>
              </w:rPr>
            </w:pPr>
            <w:r>
              <w:rPr>
                <w:rFonts w:cs="Times New Roman"/>
                <w:b/>
                <w:sz w:val="20"/>
                <w:szCs w:val="20"/>
              </w:rPr>
              <w:t>Financé b</w:t>
            </w:r>
            <w:r w:rsidRPr="00CF5BE7">
              <w:rPr>
                <w:rFonts w:cs="Times New Roman"/>
                <w:b/>
                <w:sz w:val="20"/>
                <w:szCs w:val="20"/>
              </w:rPr>
              <w:t>ricoleur</w:t>
            </w:r>
          </w:p>
        </w:tc>
        <w:tc>
          <w:tcPr>
            <w:tcW w:w="1984" w:type="dxa"/>
            <w:shd w:val="clear" w:color="auto" w:fill="F2F2F2" w:themeFill="background1" w:themeFillShade="F2"/>
            <w:vAlign w:val="center"/>
          </w:tcPr>
          <w:p w:rsidR="00E857D9" w:rsidRPr="00CF5BE7" w:rsidRDefault="00E857D9" w:rsidP="00E9204D">
            <w:pPr>
              <w:spacing w:after="0" w:line="240" w:lineRule="auto"/>
              <w:ind w:firstLine="0"/>
              <w:jc w:val="center"/>
              <w:rPr>
                <w:rFonts w:cs="Times New Roman"/>
                <w:b/>
                <w:sz w:val="20"/>
                <w:szCs w:val="20"/>
              </w:rPr>
            </w:pPr>
            <w:r>
              <w:rPr>
                <w:rFonts w:cs="Times New Roman"/>
                <w:b/>
                <w:sz w:val="20"/>
                <w:szCs w:val="20"/>
              </w:rPr>
              <w:t>Financeur i</w:t>
            </w:r>
            <w:r w:rsidRPr="00CF5BE7">
              <w:rPr>
                <w:rFonts w:cs="Times New Roman"/>
                <w:b/>
                <w:sz w:val="20"/>
                <w:szCs w:val="20"/>
              </w:rPr>
              <w:t>ngénieur</w:t>
            </w:r>
          </w:p>
        </w:tc>
        <w:tc>
          <w:tcPr>
            <w:tcW w:w="1985" w:type="dxa"/>
            <w:shd w:val="clear" w:color="auto" w:fill="F2F2F2" w:themeFill="background1" w:themeFillShade="F2"/>
            <w:vAlign w:val="center"/>
          </w:tcPr>
          <w:p w:rsidR="00E857D9" w:rsidRPr="00CF5BE7" w:rsidRDefault="00E857D9" w:rsidP="00E9204D">
            <w:pPr>
              <w:spacing w:after="0" w:line="240" w:lineRule="auto"/>
              <w:ind w:firstLine="0"/>
              <w:jc w:val="center"/>
              <w:rPr>
                <w:rFonts w:cs="Times New Roman"/>
                <w:b/>
                <w:sz w:val="20"/>
                <w:szCs w:val="20"/>
              </w:rPr>
            </w:pPr>
            <w:r w:rsidRPr="00CF5BE7">
              <w:rPr>
                <w:rFonts w:cs="Times New Roman"/>
                <w:b/>
                <w:sz w:val="20"/>
                <w:szCs w:val="20"/>
              </w:rPr>
              <w:t>Financeur bricoleur</w:t>
            </w:r>
          </w:p>
        </w:tc>
      </w:tr>
      <w:tr w:rsidR="008D2444" w:rsidRPr="00CF5BE7" w:rsidTr="00E9204D">
        <w:tblPrEx>
          <w:tblCellMar>
            <w:top w:w="0" w:type="dxa"/>
            <w:bottom w:w="0" w:type="dxa"/>
          </w:tblCellMar>
        </w:tblPrEx>
        <w:tc>
          <w:tcPr>
            <w:tcW w:w="1702" w:type="dxa"/>
            <w:vAlign w:val="center"/>
          </w:tcPr>
          <w:p w:rsidR="008D2444" w:rsidRPr="00E9204D" w:rsidRDefault="008D2444" w:rsidP="00E9204D">
            <w:pPr>
              <w:spacing w:after="0" w:line="240" w:lineRule="auto"/>
              <w:ind w:firstLine="0"/>
              <w:rPr>
                <w:rFonts w:cs="Times New Roman"/>
                <w:b/>
                <w:sz w:val="20"/>
                <w:szCs w:val="20"/>
              </w:rPr>
            </w:pPr>
            <w:r w:rsidRPr="00E9204D">
              <w:rPr>
                <w:rFonts w:cs="Times New Roman"/>
                <w:b/>
                <w:sz w:val="20"/>
                <w:szCs w:val="20"/>
              </w:rPr>
              <w:t>Appréhension du potentiel de la ressource (et du social)</w:t>
            </w:r>
          </w:p>
        </w:tc>
        <w:tc>
          <w:tcPr>
            <w:tcW w:w="1984" w:type="dxa"/>
            <w:vAlign w:val="center"/>
          </w:tcPr>
          <w:p w:rsidR="008F7807" w:rsidRDefault="008F7807" w:rsidP="00E9204D">
            <w:pPr>
              <w:spacing w:after="0" w:line="240" w:lineRule="auto"/>
              <w:ind w:left="176" w:hanging="176"/>
              <w:rPr>
                <w:rFonts w:cs="Times New Roman"/>
                <w:sz w:val="20"/>
                <w:szCs w:val="20"/>
              </w:rPr>
            </w:pPr>
            <w:r>
              <w:rPr>
                <w:rFonts w:cs="Times New Roman"/>
                <w:sz w:val="20"/>
                <w:szCs w:val="20"/>
              </w:rPr>
              <w:t>Existence d’un</w:t>
            </w:r>
            <w:r w:rsidR="008D2444" w:rsidRPr="00CF5BE7">
              <w:rPr>
                <w:rFonts w:cs="Times New Roman"/>
                <w:sz w:val="20"/>
                <w:szCs w:val="20"/>
              </w:rPr>
              <w:t xml:space="preserve"> b</w:t>
            </w:r>
            <w:r>
              <w:rPr>
                <w:rFonts w:cs="Times New Roman"/>
                <w:sz w:val="20"/>
                <w:szCs w:val="20"/>
              </w:rPr>
              <w:t>usiness plan</w:t>
            </w:r>
          </w:p>
          <w:p w:rsidR="008D2444" w:rsidRPr="00CF5BE7" w:rsidRDefault="008F7807" w:rsidP="00E9204D">
            <w:pPr>
              <w:spacing w:after="0" w:line="240" w:lineRule="auto"/>
              <w:ind w:left="176" w:hanging="176"/>
              <w:rPr>
                <w:rFonts w:cs="Times New Roman"/>
                <w:sz w:val="20"/>
                <w:szCs w:val="20"/>
              </w:rPr>
            </w:pPr>
            <w:r>
              <w:rPr>
                <w:rFonts w:cs="Times New Roman"/>
                <w:sz w:val="20"/>
                <w:szCs w:val="20"/>
              </w:rPr>
              <w:t>Anticipation de</w:t>
            </w:r>
            <w:r w:rsidR="008D2444" w:rsidRPr="00CF5BE7">
              <w:rPr>
                <w:rFonts w:cs="Times New Roman"/>
                <w:sz w:val="20"/>
                <w:szCs w:val="20"/>
              </w:rPr>
              <w:t xml:space="preserve"> la meilleure façon de se financer</w:t>
            </w:r>
          </w:p>
        </w:tc>
        <w:tc>
          <w:tcPr>
            <w:tcW w:w="1985" w:type="dxa"/>
            <w:vAlign w:val="center"/>
          </w:tcPr>
          <w:p w:rsidR="008F7807" w:rsidRDefault="008F7807" w:rsidP="00E9204D">
            <w:pPr>
              <w:spacing w:after="0" w:line="240" w:lineRule="auto"/>
              <w:ind w:left="176" w:hanging="176"/>
              <w:rPr>
                <w:rFonts w:cs="Times New Roman"/>
                <w:sz w:val="20"/>
                <w:szCs w:val="20"/>
              </w:rPr>
            </w:pPr>
            <w:r>
              <w:rPr>
                <w:rFonts w:cs="Times New Roman"/>
                <w:sz w:val="20"/>
                <w:szCs w:val="20"/>
              </w:rPr>
              <w:t xml:space="preserve">Interrogation </w:t>
            </w:r>
            <w:r w:rsidR="004D3521">
              <w:rPr>
                <w:rFonts w:cs="Times New Roman"/>
                <w:sz w:val="20"/>
                <w:szCs w:val="20"/>
              </w:rPr>
              <w:t>du</w:t>
            </w:r>
            <w:r>
              <w:rPr>
                <w:rFonts w:cs="Times New Roman"/>
                <w:sz w:val="20"/>
                <w:szCs w:val="20"/>
              </w:rPr>
              <w:t xml:space="preserve"> stock</w:t>
            </w:r>
          </w:p>
          <w:p w:rsidR="008D2444" w:rsidRPr="004D3521" w:rsidRDefault="008F7807" w:rsidP="00E9204D">
            <w:pPr>
              <w:spacing w:after="0" w:line="240" w:lineRule="auto"/>
              <w:ind w:left="176" w:hanging="176"/>
              <w:rPr>
                <w:rFonts w:cs="Times New Roman"/>
                <w:sz w:val="20"/>
                <w:szCs w:val="20"/>
              </w:rPr>
            </w:pPr>
            <w:r>
              <w:rPr>
                <w:rFonts w:cs="Times New Roman"/>
                <w:sz w:val="20"/>
                <w:szCs w:val="20"/>
              </w:rPr>
              <w:t xml:space="preserve">Mise </w:t>
            </w:r>
            <w:r w:rsidR="008D2444" w:rsidRPr="00CF5BE7">
              <w:rPr>
                <w:rFonts w:cs="Times New Roman"/>
                <w:sz w:val="20"/>
                <w:szCs w:val="20"/>
              </w:rPr>
              <w:t>au même niveau la ressour</w:t>
            </w:r>
            <w:r>
              <w:rPr>
                <w:rFonts w:cs="Times New Roman"/>
                <w:sz w:val="20"/>
                <w:szCs w:val="20"/>
              </w:rPr>
              <w:t>ce de financement et les autres</w:t>
            </w:r>
          </w:p>
        </w:tc>
        <w:tc>
          <w:tcPr>
            <w:tcW w:w="1984" w:type="dxa"/>
            <w:vAlign w:val="center"/>
          </w:tcPr>
          <w:p w:rsidR="008D2444" w:rsidRPr="00CF5BE7" w:rsidRDefault="008F7807" w:rsidP="00E9204D">
            <w:pPr>
              <w:spacing w:after="0" w:line="240" w:lineRule="auto"/>
              <w:ind w:left="176" w:hanging="176"/>
              <w:rPr>
                <w:rFonts w:cs="Times New Roman"/>
                <w:sz w:val="20"/>
                <w:szCs w:val="20"/>
              </w:rPr>
            </w:pPr>
            <w:r>
              <w:rPr>
                <w:rFonts w:cs="Times New Roman"/>
                <w:sz w:val="20"/>
                <w:szCs w:val="20"/>
              </w:rPr>
              <w:t>Utilisations de r</w:t>
            </w:r>
            <w:r w:rsidR="008D2444" w:rsidRPr="00CF5BE7">
              <w:rPr>
                <w:rFonts w:cs="Times New Roman"/>
                <w:sz w:val="20"/>
                <w:szCs w:val="20"/>
              </w:rPr>
              <w:t>ègles, processus bornés et normés</w:t>
            </w:r>
          </w:p>
          <w:p w:rsidR="008D2444" w:rsidRPr="00CF5BE7" w:rsidRDefault="008D2444" w:rsidP="00E9204D">
            <w:pPr>
              <w:spacing w:after="0" w:line="240" w:lineRule="auto"/>
              <w:ind w:left="176" w:hanging="176"/>
              <w:rPr>
                <w:rFonts w:cs="Times New Roman"/>
                <w:sz w:val="20"/>
                <w:szCs w:val="20"/>
              </w:rPr>
            </w:pPr>
            <w:r w:rsidRPr="00CF5BE7">
              <w:rPr>
                <w:rFonts w:cs="Times New Roman"/>
                <w:sz w:val="20"/>
                <w:szCs w:val="20"/>
              </w:rPr>
              <w:t>Standardisation</w:t>
            </w:r>
          </w:p>
          <w:p w:rsidR="008D2444" w:rsidRPr="004D3521" w:rsidRDefault="008D2444" w:rsidP="00E9204D">
            <w:pPr>
              <w:spacing w:after="0" w:line="240" w:lineRule="auto"/>
              <w:ind w:left="176" w:hanging="176"/>
              <w:rPr>
                <w:rFonts w:cs="Times New Roman"/>
                <w:sz w:val="20"/>
                <w:szCs w:val="20"/>
              </w:rPr>
            </w:pPr>
            <w:r w:rsidRPr="00CF5BE7">
              <w:rPr>
                <w:rFonts w:cs="Times New Roman"/>
                <w:sz w:val="20"/>
                <w:szCs w:val="20"/>
              </w:rPr>
              <w:t>Prise de risque de plus en plus faible</w:t>
            </w:r>
          </w:p>
        </w:tc>
        <w:tc>
          <w:tcPr>
            <w:tcW w:w="1985" w:type="dxa"/>
            <w:vAlign w:val="center"/>
          </w:tcPr>
          <w:p w:rsidR="00F239D8" w:rsidRPr="002F5685" w:rsidRDefault="00F239D8" w:rsidP="00F239D8">
            <w:pPr>
              <w:spacing w:after="0" w:line="240" w:lineRule="auto"/>
              <w:ind w:left="176" w:hanging="142"/>
              <w:rPr>
                <w:rFonts w:cs="Times New Roman"/>
                <w:sz w:val="20"/>
                <w:szCs w:val="20"/>
              </w:rPr>
            </w:pPr>
            <w:r w:rsidRPr="002F5685">
              <w:rPr>
                <w:rFonts w:cs="Times New Roman"/>
                <w:sz w:val="20"/>
                <w:szCs w:val="20"/>
              </w:rPr>
              <w:t>Utilisation de routines, processus bornés par l’habitude et la familiarité</w:t>
            </w:r>
          </w:p>
          <w:p w:rsidR="008D2444" w:rsidRPr="00CF5BE7" w:rsidRDefault="00F239D8" w:rsidP="00F239D8">
            <w:pPr>
              <w:spacing w:after="0" w:line="240" w:lineRule="auto"/>
              <w:ind w:left="176" w:hanging="142"/>
              <w:rPr>
                <w:rFonts w:cs="Times New Roman"/>
                <w:sz w:val="20"/>
                <w:szCs w:val="20"/>
              </w:rPr>
            </w:pPr>
            <w:r w:rsidRPr="002F5685">
              <w:rPr>
                <w:rFonts w:cs="Times New Roman"/>
                <w:sz w:val="20"/>
                <w:szCs w:val="20"/>
              </w:rPr>
              <w:t>Personnalisation</w:t>
            </w:r>
          </w:p>
        </w:tc>
      </w:tr>
      <w:tr w:rsidR="00102E57" w:rsidRPr="00CF5BE7" w:rsidTr="00E9204D">
        <w:tblPrEx>
          <w:tblCellMar>
            <w:top w:w="0" w:type="dxa"/>
            <w:bottom w:w="0" w:type="dxa"/>
          </w:tblCellMar>
        </w:tblPrEx>
        <w:tc>
          <w:tcPr>
            <w:tcW w:w="1702" w:type="dxa"/>
            <w:vAlign w:val="center"/>
          </w:tcPr>
          <w:p w:rsidR="00102E57" w:rsidRPr="00E9204D" w:rsidRDefault="00102E57" w:rsidP="00E9204D">
            <w:pPr>
              <w:spacing w:after="0" w:line="240" w:lineRule="auto"/>
              <w:ind w:firstLine="0"/>
              <w:rPr>
                <w:rFonts w:cs="Times New Roman"/>
                <w:b/>
                <w:sz w:val="20"/>
                <w:szCs w:val="20"/>
              </w:rPr>
            </w:pPr>
            <w:r w:rsidRPr="00E9204D">
              <w:rPr>
                <w:rFonts w:cs="Times New Roman"/>
                <w:b/>
                <w:sz w:val="20"/>
                <w:szCs w:val="20"/>
              </w:rPr>
              <w:t>Conception de la ressource (</w:t>
            </w:r>
            <w:r w:rsidR="008F7807" w:rsidRPr="00E9204D">
              <w:rPr>
                <w:rFonts w:cs="Times New Roman"/>
                <w:b/>
                <w:sz w:val="20"/>
                <w:szCs w:val="20"/>
              </w:rPr>
              <w:t xml:space="preserve">et </w:t>
            </w:r>
            <w:r w:rsidRPr="00E9204D">
              <w:rPr>
                <w:rFonts w:cs="Times New Roman"/>
                <w:b/>
                <w:sz w:val="20"/>
                <w:szCs w:val="20"/>
              </w:rPr>
              <w:t xml:space="preserve">au </w:t>
            </w:r>
            <w:r w:rsidR="008D2444" w:rsidRPr="00E9204D">
              <w:rPr>
                <w:rFonts w:cs="Times New Roman"/>
                <w:b/>
                <w:sz w:val="20"/>
                <w:szCs w:val="20"/>
              </w:rPr>
              <w:t>so</w:t>
            </w:r>
            <w:r w:rsidRPr="00E9204D">
              <w:rPr>
                <w:rFonts w:cs="Times New Roman"/>
                <w:b/>
                <w:sz w:val="20"/>
                <w:szCs w:val="20"/>
              </w:rPr>
              <w:t>cial)</w:t>
            </w:r>
          </w:p>
        </w:tc>
        <w:tc>
          <w:tcPr>
            <w:tcW w:w="1984" w:type="dxa"/>
            <w:vAlign w:val="center"/>
          </w:tcPr>
          <w:p w:rsidR="008F7807" w:rsidRDefault="00102E57" w:rsidP="00E9204D">
            <w:pPr>
              <w:spacing w:after="0" w:line="240" w:lineRule="auto"/>
              <w:ind w:left="176" w:hanging="176"/>
              <w:rPr>
                <w:rFonts w:cs="Times New Roman"/>
                <w:sz w:val="20"/>
                <w:szCs w:val="20"/>
              </w:rPr>
            </w:pPr>
            <w:r w:rsidRPr="00CF5BE7">
              <w:rPr>
                <w:rFonts w:cs="Times New Roman"/>
                <w:sz w:val="20"/>
                <w:szCs w:val="20"/>
              </w:rPr>
              <w:t>Financement</w:t>
            </w:r>
            <w:r w:rsidR="008F7807">
              <w:rPr>
                <w:rFonts w:cs="Times New Roman"/>
                <w:sz w:val="20"/>
                <w:szCs w:val="20"/>
              </w:rPr>
              <w:t xml:space="preserve"> nécessaire lié à un projet</w:t>
            </w:r>
          </w:p>
          <w:p w:rsidR="00102E57" w:rsidRPr="00CF5BE7" w:rsidRDefault="008F7807" w:rsidP="00E9204D">
            <w:pPr>
              <w:spacing w:after="0" w:line="240" w:lineRule="auto"/>
              <w:ind w:left="176" w:hanging="176"/>
              <w:rPr>
                <w:rFonts w:cs="Times New Roman"/>
                <w:sz w:val="20"/>
                <w:szCs w:val="20"/>
              </w:rPr>
            </w:pPr>
            <w:r>
              <w:rPr>
                <w:rFonts w:cs="Times New Roman"/>
                <w:sz w:val="20"/>
                <w:szCs w:val="20"/>
              </w:rPr>
              <w:t>M</w:t>
            </w:r>
            <w:r w:rsidR="00102E57" w:rsidRPr="00CF5BE7">
              <w:rPr>
                <w:rFonts w:cs="Times New Roman"/>
                <w:sz w:val="20"/>
                <w:szCs w:val="20"/>
              </w:rPr>
              <w:t>ise à disposition de ressources</w:t>
            </w:r>
          </w:p>
        </w:tc>
        <w:tc>
          <w:tcPr>
            <w:tcW w:w="1985" w:type="dxa"/>
            <w:vAlign w:val="center"/>
          </w:tcPr>
          <w:p w:rsidR="00102E57" w:rsidRPr="00CF5BE7" w:rsidRDefault="00102E57" w:rsidP="00E9204D">
            <w:pPr>
              <w:spacing w:after="0" w:line="240" w:lineRule="auto"/>
              <w:ind w:left="176" w:hanging="176"/>
              <w:rPr>
                <w:rFonts w:cs="Times New Roman"/>
                <w:sz w:val="20"/>
                <w:szCs w:val="20"/>
              </w:rPr>
            </w:pPr>
            <w:r w:rsidRPr="00CF5BE7">
              <w:rPr>
                <w:rFonts w:cs="Times New Roman"/>
                <w:sz w:val="20"/>
                <w:szCs w:val="20"/>
              </w:rPr>
              <w:t>Financement solution par défaut</w:t>
            </w:r>
            <w:r w:rsidR="004D3521">
              <w:rPr>
                <w:rFonts w:cs="Times New Roman"/>
                <w:sz w:val="20"/>
                <w:szCs w:val="20"/>
              </w:rPr>
              <w:t xml:space="preserve"> (extérieur au monde fermé)</w:t>
            </w:r>
          </w:p>
          <w:p w:rsidR="00102E57" w:rsidRPr="00CF5BE7" w:rsidRDefault="00102E57" w:rsidP="00E9204D">
            <w:pPr>
              <w:spacing w:after="0" w:line="240" w:lineRule="auto"/>
              <w:ind w:firstLine="0"/>
              <w:rPr>
                <w:rFonts w:cs="Times New Roman"/>
                <w:sz w:val="20"/>
                <w:szCs w:val="20"/>
              </w:rPr>
            </w:pPr>
          </w:p>
        </w:tc>
        <w:tc>
          <w:tcPr>
            <w:tcW w:w="1984" w:type="dxa"/>
            <w:vAlign w:val="center"/>
          </w:tcPr>
          <w:p w:rsidR="00102E57" w:rsidRPr="00CF5BE7" w:rsidRDefault="00102E57" w:rsidP="00E9204D">
            <w:pPr>
              <w:spacing w:after="0" w:line="240" w:lineRule="auto"/>
              <w:ind w:left="176" w:hanging="176"/>
              <w:rPr>
                <w:rFonts w:cs="Times New Roman"/>
                <w:sz w:val="20"/>
                <w:szCs w:val="20"/>
              </w:rPr>
            </w:pPr>
            <w:r w:rsidRPr="00CF5BE7">
              <w:rPr>
                <w:rFonts w:cs="Times New Roman"/>
                <w:sz w:val="20"/>
                <w:szCs w:val="20"/>
              </w:rPr>
              <w:t>Infini (sans forcément parler de création monétaire)</w:t>
            </w:r>
          </w:p>
          <w:p w:rsidR="00102E57" w:rsidRPr="00CF5BE7" w:rsidRDefault="00102E57" w:rsidP="00E9204D">
            <w:pPr>
              <w:spacing w:after="0" w:line="240" w:lineRule="auto"/>
              <w:ind w:left="176" w:hanging="176"/>
              <w:rPr>
                <w:rFonts w:cs="Times New Roman"/>
                <w:sz w:val="20"/>
                <w:szCs w:val="20"/>
              </w:rPr>
            </w:pPr>
            <w:r w:rsidRPr="00CF5BE7">
              <w:rPr>
                <w:rFonts w:cs="Times New Roman"/>
                <w:sz w:val="20"/>
                <w:szCs w:val="20"/>
              </w:rPr>
              <w:t>Aucune idée de faire avec</w:t>
            </w:r>
          </w:p>
        </w:tc>
        <w:tc>
          <w:tcPr>
            <w:tcW w:w="1985" w:type="dxa"/>
            <w:vAlign w:val="center"/>
          </w:tcPr>
          <w:p w:rsidR="00102E57" w:rsidRPr="00CF5BE7" w:rsidRDefault="004D3521" w:rsidP="00E9204D">
            <w:pPr>
              <w:spacing w:after="0" w:line="240" w:lineRule="auto"/>
              <w:ind w:left="176" w:hanging="176"/>
              <w:rPr>
                <w:rFonts w:cs="Times New Roman"/>
                <w:sz w:val="20"/>
                <w:szCs w:val="20"/>
              </w:rPr>
            </w:pPr>
            <w:r>
              <w:rPr>
                <w:rFonts w:cs="Times New Roman"/>
                <w:sz w:val="20"/>
                <w:szCs w:val="20"/>
              </w:rPr>
              <w:t>Très large</w:t>
            </w:r>
            <w:r w:rsidR="00102E57" w:rsidRPr="00CF5BE7">
              <w:rPr>
                <w:rFonts w:cs="Times New Roman"/>
                <w:sz w:val="20"/>
                <w:szCs w:val="20"/>
              </w:rPr>
              <w:t xml:space="preserve"> </w:t>
            </w:r>
            <w:r>
              <w:rPr>
                <w:rFonts w:cs="Times New Roman"/>
                <w:sz w:val="20"/>
                <w:szCs w:val="20"/>
              </w:rPr>
              <w:t>(</w:t>
            </w:r>
            <w:r w:rsidR="00102E57" w:rsidRPr="00CF5BE7">
              <w:rPr>
                <w:rFonts w:cs="Times New Roman"/>
                <w:sz w:val="20"/>
                <w:szCs w:val="20"/>
              </w:rPr>
              <w:t xml:space="preserve">mais moins que pour le </w:t>
            </w:r>
            <w:r>
              <w:rPr>
                <w:rFonts w:cs="Times New Roman"/>
                <w:sz w:val="20"/>
                <w:szCs w:val="20"/>
              </w:rPr>
              <w:t xml:space="preserve">bricoleur </w:t>
            </w:r>
            <w:r w:rsidR="00102E57" w:rsidRPr="00CF5BE7">
              <w:rPr>
                <w:rFonts w:cs="Times New Roman"/>
                <w:sz w:val="20"/>
                <w:szCs w:val="20"/>
              </w:rPr>
              <w:t>financé</w:t>
            </w:r>
            <w:r>
              <w:rPr>
                <w:rFonts w:cs="Times New Roman"/>
                <w:sz w:val="20"/>
                <w:szCs w:val="20"/>
              </w:rPr>
              <w:t>)</w:t>
            </w:r>
          </w:p>
        </w:tc>
      </w:tr>
      <w:tr w:rsidR="00102E57" w:rsidRPr="00CF5BE7" w:rsidTr="00E9204D">
        <w:tblPrEx>
          <w:tblCellMar>
            <w:top w:w="0" w:type="dxa"/>
            <w:bottom w:w="0" w:type="dxa"/>
          </w:tblCellMar>
        </w:tblPrEx>
        <w:tc>
          <w:tcPr>
            <w:tcW w:w="1702" w:type="dxa"/>
            <w:vAlign w:val="center"/>
          </w:tcPr>
          <w:p w:rsidR="00102E57" w:rsidRPr="00E9204D" w:rsidRDefault="00102E57" w:rsidP="00E9204D">
            <w:pPr>
              <w:spacing w:after="0" w:line="240" w:lineRule="auto"/>
              <w:ind w:firstLine="0"/>
              <w:rPr>
                <w:rFonts w:cs="Times New Roman"/>
                <w:b/>
                <w:sz w:val="20"/>
                <w:szCs w:val="20"/>
              </w:rPr>
            </w:pPr>
            <w:r w:rsidRPr="00E9204D">
              <w:rPr>
                <w:rFonts w:cs="Times New Roman"/>
                <w:b/>
                <w:sz w:val="20"/>
                <w:szCs w:val="20"/>
              </w:rPr>
              <w:t>Rapports s à la ressource (</w:t>
            </w:r>
            <w:r w:rsidR="008F7807" w:rsidRPr="00E9204D">
              <w:rPr>
                <w:rFonts w:cs="Times New Roman"/>
                <w:b/>
                <w:sz w:val="20"/>
                <w:szCs w:val="20"/>
              </w:rPr>
              <w:t xml:space="preserve">et </w:t>
            </w:r>
            <w:r w:rsidRPr="00E9204D">
              <w:rPr>
                <w:rFonts w:cs="Times New Roman"/>
                <w:b/>
                <w:sz w:val="20"/>
                <w:szCs w:val="20"/>
              </w:rPr>
              <w:t>à l’autre)</w:t>
            </w:r>
          </w:p>
        </w:tc>
        <w:tc>
          <w:tcPr>
            <w:tcW w:w="1984" w:type="dxa"/>
            <w:vAlign w:val="center"/>
          </w:tcPr>
          <w:p w:rsidR="00102E57" w:rsidRPr="00CF5BE7" w:rsidRDefault="00102E57" w:rsidP="00E9204D">
            <w:pPr>
              <w:spacing w:after="0" w:line="240" w:lineRule="auto"/>
              <w:ind w:left="176" w:hanging="142"/>
              <w:rPr>
                <w:rFonts w:cs="Times New Roman"/>
                <w:sz w:val="20"/>
                <w:szCs w:val="20"/>
              </w:rPr>
            </w:pPr>
            <w:r w:rsidRPr="00CF5BE7">
              <w:rPr>
                <w:rFonts w:cs="Times New Roman"/>
                <w:sz w:val="20"/>
                <w:szCs w:val="20"/>
              </w:rPr>
              <w:t>Non familier si nécessaire sans difficulté</w:t>
            </w:r>
          </w:p>
        </w:tc>
        <w:tc>
          <w:tcPr>
            <w:tcW w:w="1985" w:type="dxa"/>
            <w:vAlign w:val="center"/>
          </w:tcPr>
          <w:p w:rsidR="00102E57" w:rsidRPr="00CF5BE7" w:rsidRDefault="00102E57" w:rsidP="00E9204D">
            <w:pPr>
              <w:spacing w:after="0" w:line="240" w:lineRule="auto"/>
              <w:ind w:firstLine="0"/>
              <w:rPr>
                <w:rFonts w:cs="Times New Roman"/>
                <w:sz w:val="20"/>
                <w:szCs w:val="20"/>
              </w:rPr>
            </w:pPr>
            <w:r w:rsidRPr="00CF5BE7">
              <w:rPr>
                <w:rFonts w:cs="Times New Roman"/>
                <w:sz w:val="20"/>
                <w:szCs w:val="20"/>
              </w:rPr>
              <w:t>familier</w:t>
            </w:r>
          </w:p>
        </w:tc>
        <w:tc>
          <w:tcPr>
            <w:tcW w:w="1984" w:type="dxa"/>
            <w:vAlign w:val="center"/>
          </w:tcPr>
          <w:p w:rsidR="00102E57" w:rsidRPr="00CF5BE7" w:rsidRDefault="00102E57" w:rsidP="00E9204D">
            <w:pPr>
              <w:spacing w:after="0" w:line="240" w:lineRule="auto"/>
              <w:ind w:firstLine="0"/>
              <w:rPr>
                <w:rFonts w:cs="Times New Roman"/>
                <w:sz w:val="20"/>
                <w:szCs w:val="20"/>
              </w:rPr>
            </w:pPr>
            <w:r w:rsidRPr="00CF5BE7">
              <w:rPr>
                <w:rFonts w:cs="Times New Roman"/>
                <w:sz w:val="20"/>
                <w:szCs w:val="20"/>
              </w:rPr>
              <w:t>Non familiarité</w:t>
            </w:r>
          </w:p>
        </w:tc>
        <w:tc>
          <w:tcPr>
            <w:tcW w:w="1985" w:type="dxa"/>
            <w:vAlign w:val="center"/>
          </w:tcPr>
          <w:p w:rsidR="00102E57" w:rsidRPr="00CF5BE7" w:rsidRDefault="00102E57" w:rsidP="00E9204D">
            <w:pPr>
              <w:spacing w:after="0" w:line="240" w:lineRule="auto"/>
              <w:ind w:left="176" w:hanging="142"/>
              <w:rPr>
                <w:rFonts w:cs="Times New Roman"/>
                <w:sz w:val="20"/>
                <w:szCs w:val="20"/>
              </w:rPr>
            </w:pPr>
            <w:r w:rsidRPr="004D3521">
              <w:rPr>
                <w:rFonts w:cs="Times New Roman"/>
                <w:sz w:val="20"/>
                <w:szCs w:val="20"/>
              </w:rPr>
              <w:t>Familier de la relation, non de l’activité</w:t>
            </w:r>
          </w:p>
        </w:tc>
      </w:tr>
      <w:tr w:rsidR="008F7807" w:rsidRPr="00CF5BE7" w:rsidTr="00E9204D">
        <w:tblPrEx>
          <w:tblCellMar>
            <w:top w:w="0" w:type="dxa"/>
            <w:bottom w:w="0" w:type="dxa"/>
          </w:tblCellMar>
        </w:tblPrEx>
        <w:tc>
          <w:tcPr>
            <w:tcW w:w="1702" w:type="dxa"/>
            <w:vAlign w:val="center"/>
          </w:tcPr>
          <w:p w:rsidR="008F7807" w:rsidRPr="00E9204D" w:rsidRDefault="008F7807" w:rsidP="00E9204D">
            <w:pPr>
              <w:spacing w:after="0" w:line="240" w:lineRule="auto"/>
              <w:ind w:firstLine="0"/>
              <w:rPr>
                <w:rFonts w:cs="Times New Roman"/>
                <w:b/>
                <w:sz w:val="20"/>
                <w:szCs w:val="20"/>
              </w:rPr>
            </w:pPr>
            <w:r w:rsidRPr="00E9204D">
              <w:rPr>
                <w:rFonts w:cs="Times New Roman"/>
                <w:b/>
                <w:sz w:val="20"/>
                <w:szCs w:val="20"/>
              </w:rPr>
              <w:t>Nivea</w:t>
            </w:r>
            <w:r w:rsidR="004D3521" w:rsidRPr="00E9204D">
              <w:rPr>
                <w:rFonts w:cs="Times New Roman"/>
                <w:b/>
                <w:sz w:val="20"/>
                <w:szCs w:val="20"/>
              </w:rPr>
              <w:t>u</w:t>
            </w:r>
            <w:r w:rsidRPr="00E9204D">
              <w:rPr>
                <w:rFonts w:cs="Times New Roman"/>
                <w:b/>
                <w:sz w:val="20"/>
                <w:szCs w:val="20"/>
              </w:rPr>
              <w:t xml:space="preserve"> de spé</w:t>
            </w:r>
            <w:r w:rsidR="004D3521" w:rsidRPr="00E9204D">
              <w:rPr>
                <w:rFonts w:cs="Times New Roman"/>
                <w:b/>
                <w:sz w:val="20"/>
                <w:szCs w:val="20"/>
              </w:rPr>
              <w:t>cialisation</w:t>
            </w:r>
            <w:r w:rsidRPr="00E9204D">
              <w:rPr>
                <w:rFonts w:cs="Times New Roman"/>
                <w:b/>
                <w:sz w:val="20"/>
                <w:szCs w:val="20"/>
              </w:rPr>
              <w:t xml:space="preserve"> de l’acteur</w:t>
            </w:r>
          </w:p>
        </w:tc>
        <w:tc>
          <w:tcPr>
            <w:tcW w:w="1984" w:type="dxa"/>
            <w:vAlign w:val="center"/>
          </w:tcPr>
          <w:p w:rsidR="008F7807" w:rsidRPr="00CF5BE7" w:rsidRDefault="008F7807" w:rsidP="00E9204D">
            <w:pPr>
              <w:spacing w:after="0" w:line="240" w:lineRule="auto"/>
              <w:ind w:firstLine="0"/>
              <w:rPr>
                <w:rFonts w:cs="Times New Roman"/>
                <w:sz w:val="20"/>
                <w:szCs w:val="20"/>
              </w:rPr>
            </w:pPr>
            <w:r w:rsidRPr="00CF5BE7">
              <w:rPr>
                <w:rFonts w:cs="Times New Roman"/>
                <w:sz w:val="20"/>
                <w:szCs w:val="20"/>
              </w:rPr>
              <w:t>Acteur spécialisé dans une activité professionnelle</w:t>
            </w:r>
          </w:p>
          <w:p w:rsidR="008F7807" w:rsidRPr="00CF5BE7" w:rsidRDefault="004D3521" w:rsidP="00E9204D">
            <w:pPr>
              <w:spacing w:after="0" w:line="240" w:lineRule="auto"/>
              <w:ind w:firstLine="0"/>
              <w:rPr>
                <w:rFonts w:cs="Times New Roman"/>
                <w:sz w:val="20"/>
                <w:szCs w:val="20"/>
              </w:rPr>
            </w:pPr>
            <w:r>
              <w:rPr>
                <w:rFonts w:cs="Times New Roman"/>
                <w:sz w:val="20"/>
                <w:szCs w:val="20"/>
              </w:rPr>
              <w:t>E</w:t>
            </w:r>
            <w:r w:rsidR="008F7807" w:rsidRPr="00CF5BE7">
              <w:rPr>
                <w:rFonts w:cs="Times New Roman"/>
                <w:sz w:val="20"/>
                <w:szCs w:val="20"/>
              </w:rPr>
              <w:t xml:space="preserve">n attente d’un spécialiste en face </w:t>
            </w:r>
          </w:p>
        </w:tc>
        <w:tc>
          <w:tcPr>
            <w:tcW w:w="1985" w:type="dxa"/>
            <w:vAlign w:val="center"/>
          </w:tcPr>
          <w:p w:rsidR="004D3521" w:rsidRDefault="004D3521" w:rsidP="00E9204D">
            <w:pPr>
              <w:spacing w:after="0" w:line="240" w:lineRule="auto"/>
              <w:ind w:left="176" w:hanging="176"/>
              <w:rPr>
                <w:rFonts w:cs="Times New Roman"/>
                <w:sz w:val="20"/>
                <w:szCs w:val="20"/>
              </w:rPr>
            </w:pPr>
            <w:r>
              <w:rPr>
                <w:rFonts w:cs="Times New Roman"/>
                <w:sz w:val="20"/>
                <w:szCs w:val="20"/>
              </w:rPr>
              <w:t>Polyvalent</w:t>
            </w:r>
          </w:p>
          <w:p w:rsidR="004D3521" w:rsidRDefault="004D3521" w:rsidP="00E9204D">
            <w:pPr>
              <w:spacing w:after="0" w:line="240" w:lineRule="auto"/>
              <w:ind w:left="176" w:hanging="176"/>
              <w:rPr>
                <w:rFonts w:cs="Times New Roman"/>
                <w:sz w:val="20"/>
                <w:szCs w:val="20"/>
              </w:rPr>
            </w:pPr>
            <w:r>
              <w:rPr>
                <w:rFonts w:cs="Times New Roman"/>
                <w:sz w:val="20"/>
                <w:szCs w:val="20"/>
              </w:rPr>
              <w:t>Activités de survie</w:t>
            </w:r>
          </w:p>
          <w:p w:rsidR="008F7807" w:rsidRPr="00CF5BE7" w:rsidRDefault="004D3521" w:rsidP="00E9204D">
            <w:pPr>
              <w:spacing w:after="0" w:line="240" w:lineRule="auto"/>
              <w:ind w:left="176" w:hanging="176"/>
              <w:rPr>
                <w:rFonts w:cs="Times New Roman"/>
                <w:sz w:val="20"/>
                <w:szCs w:val="20"/>
              </w:rPr>
            </w:pPr>
            <w:r>
              <w:rPr>
                <w:rFonts w:cs="Times New Roman"/>
                <w:sz w:val="20"/>
                <w:szCs w:val="20"/>
              </w:rPr>
              <w:t>Activités génératrices de revenus</w:t>
            </w:r>
          </w:p>
        </w:tc>
        <w:tc>
          <w:tcPr>
            <w:tcW w:w="1984" w:type="dxa"/>
            <w:vAlign w:val="center"/>
          </w:tcPr>
          <w:p w:rsidR="008F7807" w:rsidRPr="00CF5BE7" w:rsidRDefault="008F7807" w:rsidP="00E9204D">
            <w:pPr>
              <w:spacing w:after="0" w:line="240" w:lineRule="auto"/>
              <w:ind w:left="176" w:hanging="176"/>
              <w:rPr>
                <w:rFonts w:cs="Times New Roman"/>
                <w:sz w:val="20"/>
                <w:szCs w:val="20"/>
              </w:rPr>
            </w:pPr>
            <w:r w:rsidRPr="00CF5BE7">
              <w:rPr>
                <w:rFonts w:cs="Times New Roman"/>
                <w:sz w:val="20"/>
                <w:szCs w:val="20"/>
              </w:rPr>
              <w:t>Haut niveau de spécialisation</w:t>
            </w:r>
          </w:p>
        </w:tc>
        <w:tc>
          <w:tcPr>
            <w:tcW w:w="1985" w:type="dxa"/>
            <w:vAlign w:val="center"/>
          </w:tcPr>
          <w:p w:rsidR="008F7807" w:rsidRPr="00CF5BE7" w:rsidRDefault="008F7807" w:rsidP="00E9204D">
            <w:pPr>
              <w:spacing w:after="0" w:line="240" w:lineRule="auto"/>
              <w:ind w:left="176" w:hanging="142"/>
              <w:rPr>
                <w:rFonts w:cs="Times New Roman"/>
                <w:sz w:val="20"/>
                <w:szCs w:val="20"/>
              </w:rPr>
            </w:pPr>
            <w:r w:rsidRPr="00CF5BE7">
              <w:rPr>
                <w:rFonts w:cs="Times New Roman"/>
                <w:sz w:val="20"/>
                <w:szCs w:val="20"/>
              </w:rPr>
              <w:t>Fonction accessoire ou complémentaire</w:t>
            </w:r>
          </w:p>
        </w:tc>
      </w:tr>
      <w:tr w:rsidR="00102E57" w:rsidRPr="00CF5BE7" w:rsidTr="00E9204D">
        <w:tblPrEx>
          <w:tblCellMar>
            <w:top w:w="0" w:type="dxa"/>
            <w:bottom w:w="0" w:type="dxa"/>
          </w:tblCellMar>
        </w:tblPrEx>
        <w:tc>
          <w:tcPr>
            <w:tcW w:w="1702" w:type="dxa"/>
            <w:vAlign w:val="center"/>
          </w:tcPr>
          <w:p w:rsidR="00102E57" w:rsidRPr="00E9204D" w:rsidRDefault="00102E57" w:rsidP="00E9204D">
            <w:pPr>
              <w:spacing w:after="0" w:line="240" w:lineRule="auto"/>
              <w:ind w:firstLine="0"/>
              <w:rPr>
                <w:rFonts w:cs="Times New Roman"/>
                <w:b/>
                <w:sz w:val="20"/>
                <w:szCs w:val="20"/>
              </w:rPr>
            </w:pPr>
            <w:r w:rsidRPr="00E9204D">
              <w:rPr>
                <w:rFonts w:cs="Times New Roman"/>
                <w:b/>
                <w:sz w:val="20"/>
                <w:szCs w:val="20"/>
              </w:rPr>
              <w:t>Objectifs et attentes</w:t>
            </w:r>
            <w:r w:rsidR="004D3521" w:rsidRPr="00E9204D">
              <w:rPr>
                <w:rFonts w:cs="Times New Roman"/>
                <w:b/>
                <w:sz w:val="20"/>
                <w:szCs w:val="20"/>
              </w:rPr>
              <w:t xml:space="preserve"> de l’acteur</w:t>
            </w:r>
          </w:p>
        </w:tc>
        <w:tc>
          <w:tcPr>
            <w:tcW w:w="1984" w:type="dxa"/>
            <w:vAlign w:val="center"/>
          </w:tcPr>
          <w:p w:rsidR="004D3521" w:rsidRDefault="004D3521" w:rsidP="00E9204D">
            <w:pPr>
              <w:spacing w:after="0" w:line="240" w:lineRule="auto"/>
              <w:ind w:left="176" w:hanging="176"/>
              <w:rPr>
                <w:rFonts w:cs="Times New Roman"/>
                <w:sz w:val="20"/>
                <w:szCs w:val="20"/>
              </w:rPr>
            </w:pPr>
            <w:r>
              <w:rPr>
                <w:rFonts w:cs="Times New Roman"/>
                <w:sz w:val="20"/>
                <w:szCs w:val="20"/>
              </w:rPr>
              <w:t>Evaluation</w:t>
            </w:r>
          </w:p>
          <w:p w:rsidR="00102E57" w:rsidRPr="00CF5BE7" w:rsidRDefault="004D3521" w:rsidP="00E9204D">
            <w:pPr>
              <w:spacing w:after="0" w:line="240" w:lineRule="auto"/>
              <w:ind w:left="176" w:hanging="176"/>
              <w:rPr>
                <w:rFonts w:cs="Times New Roman"/>
                <w:sz w:val="20"/>
                <w:szCs w:val="20"/>
              </w:rPr>
            </w:pPr>
            <w:r>
              <w:rPr>
                <w:rFonts w:cs="Times New Roman"/>
                <w:sz w:val="20"/>
                <w:szCs w:val="20"/>
              </w:rPr>
              <w:t>Gestion précise des</w:t>
            </w:r>
            <w:r w:rsidR="00102E57" w:rsidRPr="00CF5BE7">
              <w:rPr>
                <w:rFonts w:cs="Times New Roman"/>
                <w:sz w:val="20"/>
                <w:szCs w:val="20"/>
              </w:rPr>
              <w:t xml:space="preserve"> coûts du service rendu</w:t>
            </w:r>
          </w:p>
        </w:tc>
        <w:tc>
          <w:tcPr>
            <w:tcW w:w="1985" w:type="dxa"/>
            <w:vAlign w:val="center"/>
          </w:tcPr>
          <w:p w:rsidR="00102E57" w:rsidRPr="00CF5BE7" w:rsidRDefault="004D3521" w:rsidP="00E9204D">
            <w:pPr>
              <w:spacing w:after="0" w:line="240" w:lineRule="auto"/>
              <w:ind w:left="176" w:hanging="176"/>
              <w:rPr>
                <w:rFonts w:cs="Times New Roman"/>
                <w:sz w:val="20"/>
                <w:szCs w:val="20"/>
              </w:rPr>
            </w:pPr>
            <w:r>
              <w:rPr>
                <w:rFonts w:cs="Times New Roman"/>
                <w:sz w:val="20"/>
                <w:szCs w:val="20"/>
              </w:rPr>
              <w:t>« ça</w:t>
            </w:r>
            <w:r w:rsidR="00102E57" w:rsidRPr="00CF5BE7">
              <w:rPr>
                <w:rFonts w:cs="Times New Roman"/>
                <w:sz w:val="20"/>
                <w:szCs w:val="20"/>
              </w:rPr>
              <w:t xml:space="preserve"> marche</w:t>
            </w:r>
            <w:r>
              <w:rPr>
                <w:rFonts w:cs="Times New Roman"/>
                <w:sz w:val="20"/>
                <w:szCs w:val="20"/>
              </w:rPr>
              <w:t> »</w:t>
            </w:r>
          </w:p>
          <w:p w:rsidR="00102E57" w:rsidRPr="00CF5BE7" w:rsidRDefault="00102E57" w:rsidP="00E9204D">
            <w:pPr>
              <w:spacing w:after="0" w:line="240" w:lineRule="auto"/>
              <w:ind w:left="176" w:hanging="176"/>
              <w:rPr>
                <w:rFonts w:cs="Times New Roman"/>
                <w:sz w:val="20"/>
                <w:szCs w:val="20"/>
              </w:rPr>
            </w:pPr>
            <w:r w:rsidRPr="00CF5BE7">
              <w:rPr>
                <w:rFonts w:cs="Times New Roman"/>
                <w:sz w:val="20"/>
                <w:szCs w:val="20"/>
              </w:rPr>
              <w:t>Pas d’attention forte aux coûts</w:t>
            </w:r>
          </w:p>
        </w:tc>
        <w:tc>
          <w:tcPr>
            <w:tcW w:w="1984" w:type="dxa"/>
            <w:vAlign w:val="center"/>
          </w:tcPr>
          <w:p w:rsidR="004D3521" w:rsidRDefault="00102E57" w:rsidP="00E9204D">
            <w:pPr>
              <w:spacing w:after="0" w:line="240" w:lineRule="auto"/>
              <w:ind w:left="176" w:hanging="176"/>
              <w:rPr>
                <w:rFonts w:cs="Times New Roman"/>
                <w:sz w:val="20"/>
                <w:szCs w:val="20"/>
              </w:rPr>
            </w:pPr>
            <w:r w:rsidRPr="00CF5BE7">
              <w:rPr>
                <w:rFonts w:cs="Times New Roman"/>
                <w:sz w:val="20"/>
                <w:szCs w:val="20"/>
              </w:rPr>
              <w:t>Forte attention aux sc</w:t>
            </w:r>
            <w:r w:rsidR="004D3521">
              <w:rPr>
                <w:rFonts w:cs="Times New Roman"/>
                <w:sz w:val="20"/>
                <w:szCs w:val="20"/>
              </w:rPr>
              <w:t>orings (interne et externe)</w:t>
            </w:r>
          </w:p>
          <w:p w:rsidR="00102E57" w:rsidRPr="00CF5BE7" w:rsidRDefault="004D3521" w:rsidP="00E9204D">
            <w:pPr>
              <w:spacing w:after="0" w:line="240" w:lineRule="auto"/>
              <w:ind w:left="176" w:hanging="176"/>
              <w:rPr>
                <w:rFonts w:cs="Times New Roman"/>
                <w:sz w:val="20"/>
                <w:szCs w:val="20"/>
              </w:rPr>
            </w:pPr>
            <w:r>
              <w:rPr>
                <w:rFonts w:cs="Times New Roman"/>
                <w:sz w:val="20"/>
                <w:szCs w:val="20"/>
              </w:rPr>
              <w:t>R</w:t>
            </w:r>
            <w:r w:rsidR="00102E57" w:rsidRPr="00CF5BE7">
              <w:rPr>
                <w:rFonts w:cs="Times New Roman"/>
                <w:sz w:val="20"/>
                <w:szCs w:val="20"/>
              </w:rPr>
              <w:t>entabilité</w:t>
            </w:r>
          </w:p>
        </w:tc>
        <w:tc>
          <w:tcPr>
            <w:tcW w:w="1985" w:type="dxa"/>
            <w:vAlign w:val="center"/>
          </w:tcPr>
          <w:p w:rsidR="00102E57" w:rsidRPr="00CF5BE7" w:rsidRDefault="00102E57" w:rsidP="00E9204D">
            <w:pPr>
              <w:spacing w:after="0" w:line="240" w:lineRule="auto"/>
              <w:ind w:firstLine="0"/>
              <w:rPr>
                <w:rFonts w:cs="Times New Roman"/>
                <w:sz w:val="20"/>
                <w:szCs w:val="20"/>
              </w:rPr>
            </w:pPr>
            <w:r w:rsidRPr="00CF5BE7">
              <w:rPr>
                <w:rFonts w:cs="Times New Roman"/>
                <w:sz w:val="20"/>
                <w:szCs w:val="20"/>
              </w:rPr>
              <w:t xml:space="preserve">L’enjeu </w:t>
            </w:r>
            <w:r w:rsidR="004D3521">
              <w:rPr>
                <w:rFonts w:cs="Times New Roman"/>
                <w:sz w:val="20"/>
                <w:szCs w:val="20"/>
              </w:rPr>
              <w:t>autour des</w:t>
            </w:r>
            <w:r w:rsidRPr="00CF5BE7">
              <w:rPr>
                <w:rFonts w:cs="Times New Roman"/>
                <w:sz w:val="20"/>
                <w:szCs w:val="20"/>
              </w:rPr>
              <w:t xml:space="preserve"> garanties</w:t>
            </w:r>
          </w:p>
        </w:tc>
      </w:tr>
      <w:tr w:rsidR="00E857D9" w:rsidRPr="00CF5BE7" w:rsidTr="00E9204D">
        <w:tc>
          <w:tcPr>
            <w:tcW w:w="1702" w:type="dxa"/>
            <w:vAlign w:val="center"/>
          </w:tcPr>
          <w:p w:rsidR="00E857D9" w:rsidRPr="00E9204D" w:rsidRDefault="008F7807" w:rsidP="00E9204D">
            <w:pPr>
              <w:spacing w:after="0" w:line="240" w:lineRule="auto"/>
              <w:ind w:firstLine="0"/>
              <w:rPr>
                <w:rFonts w:cs="Times New Roman"/>
                <w:b/>
                <w:sz w:val="20"/>
                <w:szCs w:val="20"/>
              </w:rPr>
            </w:pPr>
            <w:r w:rsidRPr="00E9204D">
              <w:rPr>
                <w:rFonts w:cs="Times New Roman"/>
                <w:b/>
                <w:sz w:val="20"/>
                <w:szCs w:val="20"/>
              </w:rPr>
              <w:t>Rapport au formel de l’acteur</w:t>
            </w:r>
          </w:p>
        </w:tc>
        <w:tc>
          <w:tcPr>
            <w:tcW w:w="1984" w:type="dxa"/>
            <w:vAlign w:val="center"/>
          </w:tcPr>
          <w:p w:rsidR="00E857D9" w:rsidRPr="00CF5BE7" w:rsidRDefault="004D3521" w:rsidP="00E9204D">
            <w:pPr>
              <w:spacing w:after="0" w:line="240" w:lineRule="auto"/>
              <w:ind w:left="176" w:hanging="176"/>
              <w:rPr>
                <w:rFonts w:cs="Times New Roman"/>
                <w:sz w:val="20"/>
                <w:szCs w:val="20"/>
              </w:rPr>
            </w:pPr>
            <w:r>
              <w:rPr>
                <w:rFonts w:cs="Times New Roman"/>
                <w:sz w:val="20"/>
                <w:szCs w:val="20"/>
              </w:rPr>
              <w:t>Utilisation et production d</w:t>
            </w:r>
            <w:r w:rsidR="00E857D9" w:rsidRPr="00CF5BE7">
              <w:rPr>
                <w:rFonts w:cs="Times New Roman"/>
                <w:sz w:val="20"/>
                <w:szCs w:val="20"/>
              </w:rPr>
              <w:t>es documents d’usage</w:t>
            </w:r>
          </w:p>
        </w:tc>
        <w:tc>
          <w:tcPr>
            <w:tcW w:w="1985" w:type="dxa"/>
            <w:vAlign w:val="center"/>
          </w:tcPr>
          <w:p w:rsidR="00E857D9" w:rsidRPr="00CF5BE7" w:rsidRDefault="00E857D9" w:rsidP="00E9204D">
            <w:pPr>
              <w:spacing w:after="0" w:line="240" w:lineRule="auto"/>
              <w:ind w:left="176" w:hanging="142"/>
              <w:rPr>
                <w:rFonts w:cs="Times New Roman"/>
                <w:sz w:val="20"/>
                <w:szCs w:val="20"/>
              </w:rPr>
            </w:pPr>
            <w:r w:rsidRPr="00CF5BE7">
              <w:rPr>
                <w:rFonts w:cs="Times New Roman"/>
                <w:sz w:val="20"/>
                <w:szCs w:val="20"/>
              </w:rPr>
              <w:t>Peu adepte et au fait de ce type de documents</w:t>
            </w:r>
          </w:p>
        </w:tc>
        <w:tc>
          <w:tcPr>
            <w:tcW w:w="1984" w:type="dxa"/>
            <w:vAlign w:val="center"/>
          </w:tcPr>
          <w:p w:rsidR="00E857D9" w:rsidRPr="00CF5BE7" w:rsidRDefault="00E857D9" w:rsidP="00E9204D">
            <w:pPr>
              <w:spacing w:after="0" w:line="240" w:lineRule="auto"/>
              <w:ind w:firstLine="0"/>
              <w:rPr>
                <w:rFonts w:cs="Times New Roman"/>
                <w:sz w:val="20"/>
                <w:szCs w:val="20"/>
              </w:rPr>
            </w:pPr>
            <w:r w:rsidRPr="00CF5BE7">
              <w:rPr>
                <w:rFonts w:cs="Times New Roman"/>
                <w:sz w:val="20"/>
                <w:szCs w:val="20"/>
              </w:rPr>
              <w:t>Très formalisé</w:t>
            </w:r>
          </w:p>
        </w:tc>
        <w:tc>
          <w:tcPr>
            <w:tcW w:w="1985" w:type="dxa"/>
            <w:vAlign w:val="center"/>
          </w:tcPr>
          <w:p w:rsidR="00E857D9" w:rsidRPr="00CF5BE7" w:rsidRDefault="00E857D9" w:rsidP="00E9204D">
            <w:pPr>
              <w:spacing w:after="0" w:line="240" w:lineRule="auto"/>
              <w:ind w:firstLine="0"/>
              <w:rPr>
                <w:rFonts w:cs="Times New Roman"/>
                <w:sz w:val="20"/>
                <w:szCs w:val="20"/>
              </w:rPr>
            </w:pPr>
            <w:r w:rsidRPr="00CF5BE7">
              <w:rPr>
                <w:rFonts w:cs="Times New Roman"/>
                <w:sz w:val="20"/>
                <w:szCs w:val="20"/>
              </w:rPr>
              <w:t>Mode d’emploi pas nécessairement formel, et s’il existe il est limité</w:t>
            </w:r>
          </w:p>
        </w:tc>
      </w:tr>
    </w:tbl>
    <w:p w:rsidR="00B44EB6" w:rsidRDefault="002F5685" w:rsidP="002F5685">
      <w:pPr>
        <w:ind w:firstLine="0"/>
        <w:jc w:val="right"/>
        <w:rPr>
          <w:rFonts w:eastAsia="Times New Roman" w:cs="Times New Roman"/>
          <w:i/>
          <w:sz w:val="22"/>
          <w:szCs w:val="24"/>
        </w:rPr>
      </w:pPr>
      <w:r w:rsidRPr="002F5685">
        <w:rPr>
          <w:rFonts w:eastAsia="Times New Roman" w:cs="Times New Roman"/>
          <w:i/>
          <w:sz w:val="22"/>
          <w:szCs w:val="24"/>
        </w:rPr>
        <w:t>Source : les auteurs</w:t>
      </w:r>
    </w:p>
    <w:p w:rsidR="002F5685" w:rsidRDefault="002F5685" w:rsidP="002F5685">
      <w:pPr>
        <w:ind w:firstLine="0"/>
        <w:jc w:val="right"/>
        <w:rPr>
          <w:rFonts w:eastAsia="Times New Roman" w:cs="Times New Roman"/>
          <w:i/>
          <w:sz w:val="22"/>
          <w:szCs w:val="24"/>
        </w:rPr>
      </w:pPr>
    </w:p>
    <w:p w:rsidR="002F5685" w:rsidRDefault="002F5685" w:rsidP="002F5685">
      <w:pPr>
        <w:ind w:firstLine="0"/>
        <w:jc w:val="right"/>
        <w:rPr>
          <w:rFonts w:eastAsia="Times New Roman" w:cs="Times New Roman"/>
          <w:i/>
          <w:sz w:val="22"/>
          <w:szCs w:val="24"/>
        </w:rPr>
      </w:pPr>
    </w:p>
    <w:p w:rsidR="002F5685" w:rsidRDefault="002F5685" w:rsidP="002F5685">
      <w:pPr>
        <w:ind w:firstLine="0"/>
        <w:jc w:val="right"/>
        <w:rPr>
          <w:rFonts w:eastAsia="Times New Roman" w:cs="Times New Roman"/>
          <w:i/>
          <w:sz w:val="22"/>
          <w:szCs w:val="24"/>
        </w:rPr>
      </w:pPr>
    </w:p>
    <w:p w:rsidR="002F5685" w:rsidRPr="002F5685" w:rsidRDefault="002F5685" w:rsidP="002F5685">
      <w:pPr>
        <w:ind w:firstLine="0"/>
        <w:jc w:val="right"/>
        <w:rPr>
          <w:rFonts w:eastAsia="Times New Roman" w:cs="Times New Roman"/>
          <w:i/>
          <w:sz w:val="22"/>
          <w:szCs w:val="24"/>
        </w:rPr>
      </w:pPr>
    </w:p>
    <w:p w:rsidR="00025C3B" w:rsidRPr="00726BE0" w:rsidRDefault="00404E0B" w:rsidP="00404E0B">
      <w:pPr>
        <w:pStyle w:val="ListParagraph"/>
        <w:numPr>
          <w:ilvl w:val="1"/>
          <w:numId w:val="9"/>
        </w:numPr>
        <w:ind w:left="426" w:hanging="426"/>
        <w:jc w:val="both"/>
        <w:rPr>
          <w:rFonts w:eastAsia="Times New Roman" w:cs="Times New Roman"/>
          <w:b/>
          <w:i/>
          <w:szCs w:val="24"/>
        </w:rPr>
      </w:pPr>
      <w:r w:rsidRPr="00726BE0">
        <w:rPr>
          <w:rFonts w:eastAsia="Times New Roman" w:cs="Times New Roman"/>
          <w:b/>
          <w:i/>
          <w:szCs w:val="24"/>
        </w:rPr>
        <w:t>Le clivage grandissant entre la microfinance, une finance d’ingénieur, et la clientèle des PVD, des financés-bricoleurs</w:t>
      </w:r>
    </w:p>
    <w:p w:rsidR="00F27C44" w:rsidRPr="00726BE0" w:rsidRDefault="00C5589C" w:rsidP="00F27C44">
      <w:pPr>
        <w:ind w:firstLine="0"/>
        <w:jc w:val="both"/>
        <w:rPr>
          <w:rFonts w:eastAsia="Times New Roman" w:cs="Times New Roman"/>
          <w:szCs w:val="24"/>
        </w:rPr>
      </w:pPr>
      <w:r w:rsidRPr="00726BE0">
        <w:rPr>
          <w:rFonts w:eastAsia="Times New Roman" w:cs="Times New Roman"/>
          <w:szCs w:val="24"/>
        </w:rPr>
        <w:t>Revenons à présent à la microfinance et ses évolutions afin</w:t>
      </w:r>
      <w:r w:rsidR="00742879" w:rsidRPr="00726BE0">
        <w:rPr>
          <w:rFonts w:eastAsia="Times New Roman" w:cs="Times New Roman"/>
          <w:szCs w:val="24"/>
        </w:rPr>
        <w:t xml:space="preserve"> d’en saisir les impacts, peut-être moins avérés, sur les relations économiques et sociales. Si elle a beaucoup évolué, sa clientèle n’a malheureusement pas changé ; l’écart entre les IMF et leurs clients ne cesse de s’accroitre. </w:t>
      </w:r>
      <w:r w:rsidR="008D661E" w:rsidRPr="00726BE0">
        <w:rPr>
          <w:rFonts w:eastAsia="Times New Roman" w:cs="Times New Roman"/>
          <w:szCs w:val="24"/>
        </w:rPr>
        <w:t xml:space="preserve">Cet écart met alors en exergue </w:t>
      </w:r>
      <w:r w:rsidR="008D661E" w:rsidRPr="00726BE0">
        <w:rPr>
          <w:rFonts w:eastAsia="Times New Roman" w:cs="Times New Roman"/>
          <w:b/>
          <w:szCs w:val="24"/>
        </w:rPr>
        <w:t>l’importance de la composante sociale de la relation financière</w:t>
      </w:r>
      <w:r w:rsidR="008D661E" w:rsidRPr="00726BE0">
        <w:rPr>
          <w:rFonts w:eastAsia="Times New Roman" w:cs="Times New Roman"/>
          <w:szCs w:val="24"/>
        </w:rPr>
        <w:t>.</w:t>
      </w:r>
    </w:p>
    <w:p w:rsidR="00B44EB6" w:rsidRPr="00726BE0" w:rsidRDefault="00C5589C" w:rsidP="00F27C44">
      <w:pPr>
        <w:jc w:val="both"/>
        <w:rPr>
          <w:rFonts w:eastAsia="Times New Roman" w:cs="Times New Roman"/>
          <w:szCs w:val="24"/>
        </w:rPr>
      </w:pPr>
      <w:r w:rsidRPr="00726BE0">
        <w:rPr>
          <w:rFonts w:eastAsia="Times New Roman" w:cs="Times New Roman"/>
          <w:szCs w:val="24"/>
        </w:rPr>
        <w:t>Tel que nous venons de le poser, l</w:t>
      </w:r>
      <w:r w:rsidR="00B6049D" w:rsidRPr="00726BE0">
        <w:rPr>
          <w:rFonts w:eastAsia="Times New Roman" w:cs="Times New Roman"/>
          <w:szCs w:val="24"/>
        </w:rPr>
        <w:t>a clientèle traditionnelle des IMF</w:t>
      </w:r>
      <w:r w:rsidRPr="00726BE0">
        <w:rPr>
          <w:rFonts w:eastAsia="Times New Roman" w:cs="Times New Roman"/>
          <w:szCs w:val="24"/>
        </w:rPr>
        <w:t xml:space="preserve"> correspond à l’idéal type du bricoleur. Pour être plus précis, il s’agit avant tout d’age</w:t>
      </w:r>
      <w:r w:rsidR="00742879" w:rsidRPr="00726BE0">
        <w:rPr>
          <w:rFonts w:eastAsia="Times New Roman" w:cs="Times New Roman"/>
          <w:szCs w:val="24"/>
        </w:rPr>
        <w:t xml:space="preserve">nts dont l’activité économique repose pour l’essentiel sur </w:t>
      </w:r>
      <w:r w:rsidRPr="00726BE0">
        <w:rPr>
          <w:rFonts w:eastAsia="Times New Roman" w:cs="Times New Roman"/>
          <w:szCs w:val="24"/>
        </w:rPr>
        <w:t>une activité simplement génératrice de reve</w:t>
      </w:r>
      <w:r w:rsidR="00802DFA" w:rsidRPr="00726BE0">
        <w:rPr>
          <w:rFonts w:eastAsia="Times New Roman" w:cs="Times New Roman"/>
          <w:szCs w:val="24"/>
        </w:rPr>
        <w:t>nu ou à travers une micro-entre</w:t>
      </w:r>
      <w:r w:rsidRPr="00726BE0">
        <w:rPr>
          <w:rFonts w:eastAsia="Times New Roman" w:cs="Times New Roman"/>
          <w:szCs w:val="24"/>
        </w:rPr>
        <w:t>prise – voire une très petite entreprise.</w:t>
      </w:r>
      <w:r w:rsidR="00802DFA" w:rsidRPr="00726BE0">
        <w:rPr>
          <w:rFonts w:eastAsia="Times New Roman" w:cs="Times New Roman"/>
          <w:szCs w:val="24"/>
        </w:rPr>
        <w:t xml:space="preserve"> Le niveau d’informalité est bien entendu très élevé</w:t>
      </w:r>
      <w:r w:rsidR="00B6049D" w:rsidRPr="00726BE0">
        <w:rPr>
          <w:rFonts w:eastAsia="Times New Roman" w:cs="Times New Roman"/>
          <w:szCs w:val="24"/>
        </w:rPr>
        <w:t xml:space="preserve"> (</w:t>
      </w:r>
      <w:r w:rsidR="00F27C44" w:rsidRPr="00726BE0">
        <w:rPr>
          <w:rFonts w:eastAsia="Times New Roman" w:cs="Times New Roman"/>
          <w:szCs w:val="24"/>
        </w:rPr>
        <w:t>Sodokin, 2007</w:t>
      </w:r>
      <w:r w:rsidR="00B6049D" w:rsidRPr="00726BE0">
        <w:rPr>
          <w:rFonts w:eastAsia="Times New Roman" w:cs="Times New Roman"/>
          <w:szCs w:val="24"/>
        </w:rPr>
        <w:t>)</w:t>
      </w:r>
      <w:r w:rsidR="00F27C44" w:rsidRPr="00726BE0">
        <w:rPr>
          <w:rFonts w:eastAsia="Times New Roman" w:cs="Times New Roman"/>
          <w:szCs w:val="24"/>
        </w:rPr>
        <w:t> ; le portail de la microfinance définit ainsi ses clients : « On les désigne généralement par le terme de micro-entrepreneur et la plupart de ces micro-entrepreneurs travaillent dans le secteur informel ou non structuré ». Les exemples d’entrepreneurs bricoleurs</w:t>
      </w:r>
      <w:r w:rsidR="00742879" w:rsidRPr="00726BE0">
        <w:rPr>
          <w:rFonts w:eastAsia="Times New Roman" w:cs="Times New Roman"/>
          <w:szCs w:val="24"/>
        </w:rPr>
        <w:t>,</w:t>
      </w:r>
      <w:r w:rsidR="00F27C44" w:rsidRPr="00726BE0">
        <w:rPr>
          <w:rFonts w:eastAsia="Times New Roman" w:cs="Times New Roman"/>
          <w:szCs w:val="24"/>
        </w:rPr>
        <w:t xml:space="preserve"> au sens trivial du terme</w:t>
      </w:r>
      <w:r w:rsidR="00742879" w:rsidRPr="00726BE0">
        <w:rPr>
          <w:rFonts w:eastAsia="Times New Roman" w:cs="Times New Roman"/>
          <w:szCs w:val="24"/>
        </w:rPr>
        <w:t>,</w:t>
      </w:r>
      <w:r w:rsidR="00F27C44" w:rsidRPr="00726BE0">
        <w:rPr>
          <w:rFonts w:eastAsia="Times New Roman" w:cs="Times New Roman"/>
          <w:szCs w:val="24"/>
        </w:rPr>
        <w:t xml:space="preserve"> sont alors pléthoriques et illustrent souvent la capacité « bricolante » de ces acteurs comme la fabrication d’objets décoratifs à partir de canette</w:t>
      </w:r>
      <w:r w:rsidR="00742879" w:rsidRPr="00726BE0">
        <w:rPr>
          <w:rFonts w:eastAsia="Times New Roman" w:cs="Times New Roman"/>
          <w:szCs w:val="24"/>
        </w:rPr>
        <w:t>s de sodas</w:t>
      </w:r>
      <w:r w:rsidR="00F27C44" w:rsidRPr="00726BE0">
        <w:rPr>
          <w:rFonts w:eastAsia="Times New Roman" w:cs="Times New Roman"/>
          <w:szCs w:val="24"/>
        </w:rPr>
        <w:t>, l’installation d’un garage automobile autour d’un arbre faisant office de levier etc…</w:t>
      </w:r>
      <w:r w:rsidR="00B44EB6" w:rsidRPr="00726BE0">
        <w:rPr>
          <w:rFonts w:eastAsia="Times New Roman" w:cs="Times New Roman"/>
          <w:szCs w:val="24"/>
        </w:rPr>
        <w:t>.</w:t>
      </w:r>
    </w:p>
    <w:p w:rsidR="00C5589C" w:rsidRPr="00726BE0" w:rsidRDefault="00F27C44" w:rsidP="00F27C44">
      <w:pPr>
        <w:jc w:val="both"/>
        <w:rPr>
          <w:rFonts w:eastAsia="Times New Roman" w:cs="Times New Roman"/>
          <w:szCs w:val="24"/>
        </w:rPr>
      </w:pPr>
      <w:r w:rsidRPr="00726BE0">
        <w:rPr>
          <w:rFonts w:eastAsia="Times New Roman" w:cs="Times New Roman"/>
          <w:szCs w:val="24"/>
        </w:rPr>
        <w:t>Mais plus encore,</w:t>
      </w:r>
      <w:r w:rsidR="00776CF5" w:rsidRPr="00726BE0">
        <w:rPr>
          <w:rFonts w:eastAsia="Times New Roman" w:cs="Times New Roman"/>
          <w:szCs w:val="24"/>
        </w:rPr>
        <w:t xml:space="preserve"> cette clientèle informelle s’inscrit véritablement dans une approche de bricoleur</w:t>
      </w:r>
      <w:r w:rsidR="00742879" w:rsidRPr="00726BE0">
        <w:rPr>
          <w:rFonts w:eastAsia="Times New Roman" w:cs="Times New Roman"/>
          <w:szCs w:val="24"/>
        </w:rPr>
        <w:t xml:space="preserve"> lévi-straussien</w:t>
      </w:r>
      <w:r w:rsidR="00776CF5" w:rsidRPr="00726BE0">
        <w:rPr>
          <w:rFonts w:eastAsia="Times New Roman" w:cs="Times New Roman"/>
          <w:szCs w:val="24"/>
        </w:rPr>
        <w:t>. Sans reprendre encore toutes ses caractéristiques, ces agents sont polyvalents, développant souvent une activité complémentaire en plus d’autres, ils sont dans la proximité et familiarité sociale, ils ignorent ou ne comprennent pas un certain niveau de formalisme etc…. Le rapport à l’activité économique n’est pas né</w:t>
      </w:r>
      <w:r w:rsidR="00B44EB6" w:rsidRPr="00726BE0">
        <w:rPr>
          <w:rFonts w:eastAsia="Times New Roman" w:cs="Times New Roman"/>
          <w:szCs w:val="24"/>
        </w:rPr>
        <w:t xml:space="preserve">cessairement intégré pleinement ou plutôt, comme le bricoleur, l’économique est imbriqué dans un monde plus large, plus complexe fait de connexions, d’expériences et de liens sociaux (voir </w:t>
      </w:r>
      <w:r w:rsidR="00726BE0" w:rsidRPr="00726BE0">
        <w:rPr>
          <w:rFonts w:eastAsia="Times New Roman" w:cs="Times New Roman"/>
          <w:szCs w:val="24"/>
        </w:rPr>
        <w:t xml:space="preserve">ci-dessus </w:t>
      </w:r>
      <w:r w:rsidR="00B44EB6" w:rsidRPr="00726BE0">
        <w:rPr>
          <w:rFonts w:eastAsia="Times New Roman" w:cs="Times New Roman"/>
          <w:szCs w:val="24"/>
        </w:rPr>
        <w:t xml:space="preserve">p. </w:t>
      </w:r>
      <w:r w:rsidR="00404E0B" w:rsidRPr="00726BE0">
        <w:rPr>
          <w:rFonts w:eastAsia="Times New Roman" w:cs="Times New Roman"/>
          <w:szCs w:val="24"/>
        </w:rPr>
        <w:t>16</w:t>
      </w:r>
      <w:r w:rsidR="00B44EB6" w:rsidRPr="00726BE0">
        <w:rPr>
          <w:rFonts w:eastAsia="Times New Roman" w:cs="Times New Roman"/>
          <w:szCs w:val="24"/>
        </w:rPr>
        <w:t>).</w:t>
      </w:r>
    </w:p>
    <w:p w:rsidR="003D4E64" w:rsidRPr="00726BE0" w:rsidRDefault="00776CF5" w:rsidP="00F27C44">
      <w:pPr>
        <w:jc w:val="both"/>
        <w:rPr>
          <w:rFonts w:eastAsia="Times New Roman" w:cs="Times New Roman"/>
          <w:szCs w:val="24"/>
        </w:rPr>
      </w:pPr>
      <w:r w:rsidRPr="00726BE0">
        <w:rPr>
          <w:rFonts w:eastAsia="Times New Roman" w:cs="Times New Roman"/>
          <w:szCs w:val="24"/>
        </w:rPr>
        <w:t>Or, l’un des ressorts du succès de la microfinance a ét</w:t>
      </w:r>
      <w:r w:rsidR="00742879" w:rsidRPr="00726BE0">
        <w:rPr>
          <w:rFonts w:eastAsia="Times New Roman" w:cs="Times New Roman"/>
          <w:szCs w:val="24"/>
        </w:rPr>
        <w:t>é sans doute de s’adapter à ce mode de faire et de pensée en proposant</w:t>
      </w:r>
      <w:r w:rsidRPr="00726BE0">
        <w:rPr>
          <w:rFonts w:eastAsia="Times New Roman" w:cs="Times New Roman"/>
          <w:szCs w:val="24"/>
        </w:rPr>
        <w:t xml:space="preserve"> une finance</w:t>
      </w:r>
      <w:r w:rsidR="00742879" w:rsidRPr="00726BE0">
        <w:rPr>
          <w:rFonts w:eastAsia="Times New Roman" w:cs="Times New Roman"/>
          <w:szCs w:val="24"/>
        </w:rPr>
        <w:t xml:space="preserve"> de type finance</w:t>
      </w:r>
      <w:r w:rsidRPr="00726BE0">
        <w:rPr>
          <w:rFonts w:eastAsia="Times New Roman" w:cs="Times New Roman"/>
          <w:szCs w:val="24"/>
        </w:rPr>
        <w:t>-bricoleur. Répondant strictement aux caractéristiques de ce dernier, elle s’est const</w:t>
      </w:r>
      <w:r w:rsidR="00404E0B" w:rsidRPr="00726BE0">
        <w:rPr>
          <w:rFonts w:eastAsia="Times New Roman" w:cs="Times New Roman"/>
          <w:szCs w:val="24"/>
        </w:rPr>
        <w:t>ruite autour de principes forts</w:t>
      </w:r>
      <w:r w:rsidR="00726BE0" w:rsidRPr="00726BE0">
        <w:rPr>
          <w:rFonts w:eastAsia="Times New Roman" w:cs="Times New Roman"/>
          <w:szCs w:val="24"/>
        </w:rPr>
        <w:t xml:space="preserve"> comme la proximité et la familiarité</w:t>
      </w:r>
      <w:r w:rsidR="00404E0B" w:rsidRPr="00726BE0">
        <w:rPr>
          <w:rFonts w:eastAsia="Times New Roman" w:cs="Times New Roman"/>
          <w:szCs w:val="24"/>
        </w:rPr>
        <w:t>. Pourtant, la microfinance tend à se rapprocher de la finance traditionnelle, de la finance d’ingénieur.</w:t>
      </w:r>
    </w:p>
    <w:p w:rsidR="00776CF5" w:rsidRPr="00726BE0" w:rsidRDefault="003D4E64" w:rsidP="00F27C44">
      <w:pPr>
        <w:jc w:val="both"/>
        <w:rPr>
          <w:rFonts w:eastAsia="Times New Roman" w:cs="Times New Roman"/>
          <w:szCs w:val="24"/>
        </w:rPr>
      </w:pPr>
      <w:r w:rsidRPr="00726BE0">
        <w:rPr>
          <w:rFonts w:eastAsia="Times New Roman" w:cs="Times New Roman"/>
          <w:szCs w:val="24"/>
        </w:rPr>
        <w:t>Le clivage entre la microfinance et ses clients ne fait que grandir ; il concerne alors les fondements mêmes de la pensée de chacun des acteurs, et alors que l’un – le client – demeure « bricoleur » et l’autre – les IMF – deviennent ingénieur. Ainsi</w:t>
      </w:r>
      <w:r w:rsidR="00217E5F" w:rsidRPr="00726BE0">
        <w:rPr>
          <w:rFonts w:eastAsia="Times New Roman" w:cs="Times New Roman"/>
          <w:szCs w:val="24"/>
        </w:rPr>
        <w:t>, si les</w:t>
      </w:r>
      <w:r w:rsidRPr="00726BE0">
        <w:rPr>
          <w:rFonts w:eastAsia="Times New Roman" w:cs="Times New Roman"/>
          <w:szCs w:val="24"/>
        </w:rPr>
        <w:t xml:space="preserve"> financeur et financé</w:t>
      </w:r>
      <w:r w:rsidR="00217E5F" w:rsidRPr="00726BE0">
        <w:rPr>
          <w:rFonts w:eastAsia="Times New Roman" w:cs="Times New Roman"/>
          <w:szCs w:val="24"/>
        </w:rPr>
        <w:t xml:space="preserve"> se caractérisaient</w:t>
      </w:r>
      <w:r w:rsidRPr="00726BE0">
        <w:rPr>
          <w:rFonts w:eastAsia="Times New Roman" w:cs="Times New Roman"/>
          <w:szCs w:val="24"/>
        </w:rPr>
        <w:t xml:space="preserve"> par :</w:t>
      </w:r>
    </w:p>
    <w:p w:rsidR="00776CF5" w:rsidRPr="00726BE0" w:rsidRDefault="003D4E64" w:rsidP="00776CF5">
      <w:pPr>
        <w:pStyle w:val="ListParagraph"/>
        <w:numPr>
          <w:ilvl w:val="0"/>
          <w:numId w:val="10"/>
        </w:numPr>
        <w:jc w:val="both"/>
        <w:rPr>
          <w:rFonts w:eastAsia="Times New Roman" w:cs="Times New Roman"/>
          <w:szCs w:val="24"/>
        </w:rPr>
      </w:pPr>
      <w:r w:rsidRPr="00726BE0">
        <w:rPr>
          <w:rFonts w:eastAsia="Times New Roman" w:cs="Times New Roman"/>
          <w:szCs w:val="24"/>
        </w:rPr>
        <w:t>L’importance accordée à la</w:t>
      </w:r>
      <w:r w:rsidR="00776CF5" w:rsidRPr="00726BE0">
        <w:rPr>
          <w:rFonts w:eastAsia="Times New Roman" w:cs="Times New Roman"/>
          <w:szCs w:val="24"/>
        </w:rPr>
        <w:t xml:space="preserve"> proximité et </w:t>
      </w:r>
      <w:r w:rsidRPr="00726BE0">
        <w:rPr>
          <w:rFonts w:eastAsia="Times New Roman" w:cs="Times New Roman"/>
          <w:szCs w:val="24"/>
        </w:rPr>
        <w:t xml:space="preserve">à </w:t>
      </w:r>
      <w:r w:rsidR="000161D1" w:rsidRPr="00726BE0">
        <w:rPr>
          <w:rFonts w:eastAsia="Times New Roman" w:cs="Times New Roman"/>
          <w:szCs w:val="24"/>
        </w:rPr>
        <w:t xml:space="preserve">la </w:t>
      </w:r>
      <w:r w:rsidR="00776CF5" w:rsidRPr="00726BE0">
        <w:rPr>
          <w:rFonts w:eastAsia="Times New Roman" w:cs="Times New Roman"/>
          <w:szCs w:val="24"/>
        </w:rPr>
        <w:t xml:space="preserve">familiarité, </w:t>
      </w:r>
      <w:r w:rsidRPr="00726BE0">
        <w:rPr>
          <w:rFonts w:eastAsia="Times New Roman" w:cs="Times New Roman"/>
          <w:szCs w:val="24"/>
        </w:rPr>
        <w:t xml:space="preserve">les IMF tendent à délaisser cette approche </w:t>
      </w:r>
      <w:r w:rsidR="00217E5F" w:rsidRPr="00726BE0">
        <w:rPr>
          <w:rFonts w:eastAsia="Times New Roman" w:cs="Times New Roman"/>
          <w:szCs w:val="24"/>
        </w:rPr>
        <w:t xml:space="preserve">de l’accompagnement du crédit </w:t>
      </w:r>
      <w:r w:rsidRPr="00726BE0">
        <w:rPr>
          <w:rFonts w:eastAsia="Times New Roman" w:cs="Times New Roman"/>
          <w:szCs w:val="24"/>
        </w:rPr>
        <w:t xml:space="preserve">pour devenir plus distantes et </w:t>
      </w:r>
      <w:r w:rsidRPr="00726BE0">
        <w:rPr>
          <w:rFonts w:eastAsia="Times New Roman" w:cs="Times New Roman"/>
          <w:b/>
          <w:szCs w:val="24"/>
        </w:rPr>
        <w:t>dépersonnalisent les relations</w:t>
      </w:r>
      <w:r w:rsidR="00217E5F" w:rsidRPr="00726BE0">
        <w:rPr>
          <w:rFonts w:eastAsia="Times New Roman" w:cs="Times New Roman"/>
          <w:b/>
          <w:szCs w:val="24"/>
        </w:rPr>
        <w:t> </w:t>
      </w:r>
      <w:r w:rsidR="00217E5F" w:rsidRPr="00726BE0">
        <w:rPr>
          <w:rFonts w:eastAsia="Times New Roman" w:cs="Times New Roman"/>
          <w:szCs w:val="24"/>
        </w:rPr>
        <w:t>;</w:t>
      </w:r>
    </w:p>
    <w:p w:rsidR="00776CF5" w:rsidRPr="00726BE0" w:rsidRDefault="003D4E64" w:rsidP="00776CF5">
      <w:pPr>
        <w:pStyle w:val="ListParagraph"/>
        <w:numPr>
          <w:ilvl w:val="0"/>
          <w:numId w:val="10"/>
        </w:numPr>
        <w:jc w:val="both"/>
        <w:rPr>
          <w:rFonts w:eastAsia="Times New Roman" w:cs="Times New Roman"/>
          <w:szCs w:val="24"/>
        </w:rPr>
      </w:pPr>
      <w:r w:rsidRPr="00726BE0">
        <w:rPr>
          <w:rFonts w:eastAsia="Times New Roman" w:cs="Times New Roman"/>
          <w:szCs w:val="24"/>
        </w:rPr>
        <w:t>La place laissée à l’</w:t>
      </w:r>
      <w:r w:rsidR="00776CF5" w:rsidRPr="00726BE0">
        <w:rPr>
          <w:rFonts w:eastAsia="Times New Roman" w:cs="Times New Roman"/>
          <w:szCs w:val="24"/>
        </w:rPr>
        <w:t>expérience</w:t>
      </w:r>
      <w:r w:rsidRPr="00726BE0">
        <w:rPr>
          <w:rFonts w:eastAsia="Times New Roman" w:cs="Times New Roman"/>
          <w:szCs w:val="24"/>
        </w:rPr>
        <w:t xml:space="preserve"> – le monde sensible de Lévi-Strauss –, l’inscription dans des temps longs, la microfinance s’appuie de moins en moins sur la fidélisation de la clientèle et cette proximité pour avoir encore une fois </w:t>
      </w:r>
      <w:r w:rsidRPr="00726BE0">
        <w:rPr>
          <w:rFonts w:eastAsia="Times New Roman" w:cs="Times New Roman"/>
          <w:b/>
          <w:szCs w:val="24"/>
        </w:rPr>
        <w:t>des relations plus anonymes et épisodiques</w:t>
      </w:r>
      <w:r w:rsidRPr="00726BE0">
        <w:rPr>
          <w:rFonts w:eastAsia="Times New Roman" w:cs="Times New Roman"/>
          <w:szCs w:val="24"/>
        </w:rPr>
        <w:t xml:space="preserve"> avec ses clients</w:t>
      </w:r>
      <w:r w:rsidR="00217E5F" w:rsidRPr="00726BE0">
        <w:rPr>
          <w:rFonts w:eastAsia="Times New Roman" w:cs="Times New Roman"/>
          <w:szCs w:val="24"/>
        </w:rPr>
        <w:t> ;</w:t>
      </w:r>
    </w:p>
    <w:p w:rsidR="00776CF5" w:rsidRPr="00726BE0" w:rsidRDefault="00217E5F" w:rsidP="00776CF5">
      <w:pPr>
        <w:pStyle w:val="ListParagraph"/>
        <w:numPr>
          <w:ilvl w:val="0"/>
          <w:numId w:val="10"/>
        </w:numPr>
        <w:jc w:val="both"/>
        <w:rPr>
          <w:rFonts w:eastAsia="Times New Roman" w:cs="Times New Roman"/>
          <w:szCs w:val="24"/>
        </w:rPr>
      </w:pPr>
      <w:r w:rsidRPr="00726BE0">
        <w:rPr>
          <w:rFonts w:eastAsia="Times New Roman" w:cs="Times New Roman"/>
          <w:szCs w:val="24"/>
        </w:rPr>
        <w:t>La prise en compte des q</w:t>
      </w:r>
      <w:r w:rsidR="00776CF5" w:rsidRPr="00726BE0">
        <w:rPr>
          <w:rFonts w:eastAsia="Times New Roman" w:cs="Times New Roman"/>
          <w:szCs w:val="24"/>
        </w:rPr>
        <w:t>ualité</w:t>
      </w:r>
      <w:r w:rsidRPr="00726BE0">
        <w:rPr>
          <w:rFonts w:eastAsia="Times New Roman" w:cs="Times New Roman"/>
          <w:szCs w:val="24"/>
        </w:rPr>
        <w:t>s</w:t>
      </w:r>
      <w:r w:rsidR="00776CF5" w:rsidRPr="00726BE0">
        <w:rPr>
          <w:rFonts w:eastAsia="Times New Roman" w:cs="Times New Roman"/>
          <w:szCs w:val="24"/>
        </w:rPr>
        <w:t xml:space="preserve"> seconde</w:t>
      </w:r>
      <w:r w:rsidRPr="00726BE0">
        <w:rPr>
          <w:rFonts w:eastAsia="Times New Roman" w:cs="Times New Roman"/>
          <w:szCs w:val="24"/>
        </w:rPr>
        <w:t>s des biens et des personnes et ainsi de l’imbrication du</w:t>
      </w:r>
      <w:r w:rsidR="00776CF5" w:rsidRPr="00726BE0">
        <w:rPr>
          <w:rFonts w:eastAsia="Times New Roman" w:cs="Times New Roman"/>
          <w:szCs w:val="24"/>
        </w:rPr>
        <w:t xml:space="preserve"> social dans l’activité éco</w:t>
      </w:r>
      <w:r w:rsidRPr="00726BE0">
        <w:rPr>
          <w:rFonts w:eastAsia="Times New Roman" w:cs="Times New Roman"/>
          <w:szCs w:val="24"/>
        </w:rPr>
        <w:t xml:space="preserve">nomique, les IMF s’intéressent toujours davantage à </w:t>
      </w:r>
      <w:r w:rsidRPr="00726BE0">
        <w:rPr>
          <w:rFonts w:eastAsia="Times New Roman" w:cs="Times New Roman"/>
          <w:b/>
          <w:szCs w:val="24"/>
        </w:rPr>
        <w:t>l’aspect purement économique et financier</w:t>
      </w:r>
      <w:r w:rsidRPr="00726BE0">
        <w:rPr>
          <w:rFonts w:eastAsia="Times New Roman" w:cs="Times New Roman"/>
          <w:szCs w:val="24"/>
        </w:rPr>
        <w:t xml:space="preserve"> du contrat ;</w:t>
      </w:r>
    </w:p>
    <w:p w:rsidR="00776CF5" w:rsidRPr="00726BE0" w:rsidRDefault="00217E5F" w:rsidP="00776CF5">
      <w:pPr>
        <w:pStyle w:val="ListParagraph"/>
        <w:numPr>
          <w:ilvl w:val="0"/>
          <w:numId w:val="10"/>
        </w:numPr>
        <w:jc w:val="both"/>
        <w:rPr>
          <w:rFonts w:eastAsia="Times New Roman" w:cs="Times New Roman"/>
          <w:szCs w:val="24"/>
        </w:rPr>
      </w:pPr>
      <w:r w:rsidRPr="00726BE0">
        <w:rPr>
          <w:rFonts w:eastAsia="Times New Roman" w:cs="Times New Roman"/>
          <w:szCs w:val="24"/>
        </w:rPr>
        <w:t xml:space="preserve">La polyvalence des acteurs, les IMF et la microfinance tend </w:t>
      </w:r>
      <w:r w:rsidRPr="00726BE0">
        <w:rPr>
          <w:rFonts w:eastAsia="Times New Roman" w:cs="Times New Roman"/>
          <w:b/>
          <w:szCs w:val="24"/>
        </w:rPr>
        <w:t>à se spécialiser</w:t>
      </w:r>
      <w:r w:rsidRPr="00726BE0">
        <w:rPr>
          <w:rFonts w:eastAsia="Times New Roman" w:cs="Times New Roman"/>
          <w:szCs w:val="24"/>
        </w:rPr>
        <w:t xml:space="preserve"> et se professionnaliser fortement !</w:t>
      </w:r>
    </w:p>
    <w:p w:rsidR="009E2900" w:rsidRPr="00726BE0" w:rsidRDefault="009E2900" w:rsidP="00776CF5">
      <w:pPr>
        <w:pStyle w:val="ListParagraph"/>
        <w:numPr>
          <w:ilvl w:val="0"/>
          <w:numId w:val="10"/>
        </w:numPr>
        <w:jc w:val="both"/>
        <w:rPr>
          <w:rFonts w:eastAsia="Times New Roman" w:cs="Times New Roman"/>
          <w:szCs w:val="24"/>
        </w:rPr>
      </w:pPr>
      <w:r w:rsidRPr="00726BE0">
        <w:rPr>
          <w:rFonts w:eastAsia="Times New Roman" w:cs="Times New Roman"/>
          <w:szCs w:val="24"/>
        </w:rPr>
        <w:t xml:space="preserve">Le « faire avec » ou le « ça marche », les IMF suivent la tendance à </w:t>
      </w:r>
      <w:r w:rsidRPr="00726BE0">
        <w:rPr>
          <w:rFonts w:eastAsia="Times New Roman" w:cs="Times New Roman"/>
          <w:b/>
          <w:szCs w:val="24"/>
        </w:rPr>
        <w:t>l’optimisation</w:t>
      </w:r>
      <w:r w:rsidRPr="00726BE0">
        <w:rPr>
          <w:rFonts w:eastAsia="Times New Roman" w:cs="Times New Roman"/>
          <w:szCs w:val="24"/>
        </w:rPr>
        <w:t xml:space="preserve"> et à la rentabilité ;</w:t>
      </w:r>
    </w:p>
    <w:p w:rsidR="00776CF5" w:rsidRPr="00726BE0" w:rsidRDefault="00217E5F" w:rsidP="00776CF5">
      <w:pPr>
        <w:pStyle w:val="ListParagraph"/>
        <w:numPr>
          <w:ilvl w:val="0"/>
          <w:numId w:val="10"/>
        </w:numPr>
        <w:jc w:val="both"/>
        <w:rPr>
          <w:rFonts w:eastAsia="Times New Roman" w:cs="Times New Roman"/>
          <w:szCs w:val="24"/>
        </w:rPr>
      </w:pPr>
      <w:r w:rsidRPr="00726BE0">
        <w:rPr>
          <w:rFonts w:eastAsia="Times New Roman" w:cs="Times New Roman"/>
          <w:szCs w:val="24"/>
        </w:rPr>
        <w:t>L’</w:t>
      </w:r>
      <w:r w:rsidR="00776CF5" w:rsidRPr="00726BE0">
        <w:rPr>
          <w:rFonts w:eastAsia="Times New Roman" w:cs="Times New Roman"/>
          <w:szCs w:val="24"/>
        </w:rPr>
        <w:t>informalité</w:t>
      </w:r>
      <w:r w:rsidRPr="00726BE0">
        <w:rPr>
          <w:rFonts w:eastAsia="Times New Roman" w:cs="Times New Roman"/>
          <w:szCs w:val="24"/>
        </w:rPr>
        <w:t xml:space="preserve"> des processus, la microfinance tend bien entendu à se </w:t>
      </w:r>
      <w:r w:rsidRPr="00726BE0">
        <w:rPr>
          <w:rFonts w:eastAsia="Times New Roman" w:cs="Times New Roman"/>
          <w:b/>
          <w:szCs w:val="24"/>
        </w:rPr>
        <w:t>formaliser</w:t>
      </w:r>
      <w:r w:rsidRPr="00726BE0">
        <w:rPr>
          <w:rFonts w:eastAsia="Times New Roman" w:cs="Times New Roman"/>
          <w:szCs w:val="24"/>
        </w:rPr>
        <w:t>.</w:t>
      </w:r>
    </w:p>
    <w:p w:rsidR="00C5589C" w:rsidRPr="004345C6" w:rsidRDefault="00217E5F" w:rsidP="00C7129A">
      <w:pPr>
        <w:jc w:val="both"/>
        <w:rPr>
          <w:rFonts w:eastAsia="Times New Roman" w:cs="Times New Roman"/>
          <w:szCs w:val="24"/>
        </w:rPr>
      </w:pPr>
      <w:r w:rsidRPr="004345C6">
        <w:rPr>
          <w:rFonts w:eastAsia="Times New Roman" w:cs="Times New Roman"/>
          <w:szCs w:val="24"/>
        </w:rPr>
        <w:t>Les financés sont-ils à même de suivre ces évolutions et à « s’ingénieuriser » eux-mêmes ? Sans doute oui pour les agents à besoin de financement ayant déjà une expérience avec les IMF et/ou pour ceu</w:t>
      </w:r>
      <w:r w:rsidR="009E2900" w:rsidRPr="004345C6">
        <w:rPr>
          <w:rFonts w:eastAsia="Times New Roman" w:cs="Times New Roman"/>
          <w:szCs w:val="24"/>
        </w:rPr>
        <w:t>x qui en ont l’envie ou la possibilité</w:t>
      </w:r>
      <w:r w:rsidR="00726BE0" w:rsidRPr="004345C6">
        <w:rPr>
          <w:rFonts w:eastAsia="Times New Roman" w:cs="Times New Roman"/>
          <w:szCs w:val="24"/>
        </w:rPr>
        <w:t xml:space="preserve"> – soit le niveau de développement de leur activité et de leur ambition pour elle</w:t>
      </w:r>
      <w:r w:rsidR="009E2900" w:rsidRPr="004345C6">
        <w:rPr>
          <w:rFonts w:eastAsia="Times New Roman" w:cs="Times New Roman"/>
          <w:szCs w:val="24"/>
        </w:rPr>
        <w:t xml:space="preserve">. En revanche, rien n’est moins sûr pour les clients traditionnels du microcrédit, soit clients ayant une petite activité génératrice de revenus. Il demeure que les populations les plus fragiles correspondent souvent au bricoleur, soit par la contrainte de la pauvreté, soit par le choix </w:t>
      </w:r>
      <w:r w:rsidR="004345C6" w:rsidRPr="004345C6">
        <w:rPr>
          <w:rFonts w:eastAsia="Times New Roman" w:cs="Times New Roman"/>
          <w:szCs w:val="24"/>
        </w:rPr>
        <w:t>délibéré</w:t>
      </w:r>
      <w:r w:rsidR="009E2900" w:rsidRPr="004345C6">
        <w:rPr>
          <w:rFonts w:eastAsia="Times New Roman" w:cs="Times New Roman"/>
          <w:szCs w:val="24"/>
        </w:rPr>
        <w:t xml:space="preserve"> de certaines méthodes </w:t>
      </w:r>
      <w:r w:rsidR="004345C6">
        <w:rPr>
          <w:rFonts w:eastAsia="Times New Roman" w:cs="Times New Roman"/>
          <w:szCs w:val="24"/>
        </w:rPr>
        <w:t xml:space="preserve">formelles, souvent apparentées aux pratiques </w:t>
      </w:r>
      <w:r w:rsidR="009E2900" w:rsidRPr="004345C6">
        <w:rPr>
          <w:rFonts w:eastAsia="Times New Roman" w:cs="Times New Roman"/>
          <w:szCs w:val="24"/>
        </w:rPr>
        <w:t>d’origine occidentale.</w:t>
      </w:r>
    </w:p>
    <w:p w:rsidR="00102E57" w:rsidRPr="00DD7DA9" w:rsidRDefault="009E2900" w:rsidP="00C7129A">
      <w:pPr>
        <w:jc w:val="both"/>
        <w:rPr>
          <w:rFonts w:eastAsia="Times New Roman" w:cs="Times New Roman"/>
          <w:szCs w:val="24"/>
        </w:rPr>
      </w:pPr>
      <w:r w:rsidRPr="004345C6">
        <w:rPr>
          <w:rFonts w:eastAsia="Times New Roman" w:cs="Times New Roman"/>
          <w:szCs w:val="24"/>
        </w:rPr>
        <w:t>Que peut-on présumer de cet écart grandissant entre des financés-bricoleurs et des financeurs-ingénieurs </w:t>
      </w:r>
      <w:r w:rsidRPr="00DD7DA9">
        <w:rPr>
          <w:rFonts w:eastAsia="Times New Roman" w:cs="Times New Roman"/>
          <w:szCs w:val="24"/>
        </w:rPr>
        <w:t xml:space="preserve">? Certaines </w:t>
      </w:r>
      <w:r w:rsidR="004345C6" w:rsidRPr="00DD7DA9">
        <w:rPr>
          <w:rFonts w:eastAsia="Times New Roman" w:cs="Times New Roman"/>
          <w:szCs w:val="24"/>
        </w:rPr>
        <w:t>difficultés</w:t>
      </w:r>
      <w:r w:rsidR="000B3EE2" w:rsidRPr="00DD7DA9">
        <w:rPr>
          <w:rFonts w:eastAsia="Times New Roman" w:cs="Times New Roman"/>
          <w:szCs w:val="24"/>
        </w:rPr>
        <w:t xml:space="preserve"> </w:t>
      </w:r>
      <w:r w:rsidRPr="00DD7DA9">
        <w:rPr>
          <w:rFonts w:eastAsia="Times New Roman" w:cs="Times New Roman"/>
          <w:szCs w:val="24"/>
        </w:rPr>
        <w:t xml:space="preserve">de la microfinance actuelle deviennent alors </w:t>
      </w:r>
      <w:r w:rsidR="000B3EE2" w:rsidRPr="00DD7DA9">
        <w:rPr>
          <w:rFonts w:eastAsia="Times New Roman" w:cs="Times New Roman"/>
          <w:szCs w:val="24"/>
        </w:rPr>
        <w:t>explicites comme notamment l’apparition de tensions et d’incidents autour de microcrédits dans certaines parties du monde</w:t>
      </w:r>
      <w:r w:rsidR="003C0974" w:rsidRPr="00DD7DA9">
        <w:rPr>
          <w:rStyle w:val="FootnoteReference"/>
          <w:rFonts w:eastAsia="Times New Roman" w:cs="Times New Roman"/>
          <w:szCs w:val="24"/>
        </w:rPr>
        <w:footnoteReference w:id="13"/>
      </w:r>
      <w:r w:rsidR="00A22D95" w:rsidRPr="00DD7DA9">
        <w:rPr>
          <w:rFonts w:eastAsia="Times New Roman" w:cs="Times New Roman"/>
          <w:szCs w:val="24"/>
        </w:rPr>
        <w:t>.</w:t>
      </w:r>
      <w:r w:rsidR="00B46666" w:rsidRPr="00DD7DA9">
        <w:rPr>
          <w:rFonts w:eastAsia="Times New Roman" w:cs="Times New Roman"/>
          <w:szCs w:val="24"/>
        </w:rPr>
        <w:t xml:space="preserve"> Les IMF</w:t>
      </w:r>
      <w:r w:rsidR="000B3EE2" w:rsidRPr="00DD7DA9">
        <w:rPr>
          <w:rFonts w:eastAsia="Times New Roman" w:cs="Times New Roman"/>
          <w:szCs w:val="24"/>
        </w:rPr>
        <w:t xml:space="preserve"> </w:t>
      </w:r>
      <w:r w:rsidR="00306CBB" w:rsidRPr="00DD7DA9">
        <w:rPr>
          <w:rFonts w:eastAsia="Times New Roman" w:cs="Times New Roman"/>
          <w:szCs w:val="24"/>
        </w:rPr>
        <w:t>suscitent de nombreuses critiques et les dérives de certaines sont avérées allant parfois jusqu’à la fraude voire même aux suicides des clients. S’il ne s’agit pas de remettre en cause le microcrédit et ses bénéfices, ces symptômes nous alertent sur le fait que la microfinance a peut-être commencé à emprunter une voie qui paraît inquiétante. Sans aller jusqu’</w:t>
      </w:r>
      <w:r w:rsidR="00DF3507" w:rsidRPr="00DD7DA9">
        <w:rPr>
          <w:rFonts w:eastAsia="Times New Roman" w:cs="Times New Roman"/>
          <w:szCs w:val="24"/>
        </w:rPr>
        <w:t xml:space="preserve">à ces </w:t>
      </w:r>
      <w:r w:rsidR="00306CBB" w:rsidRPr="00DD7DA9">
        <w:rPr>
          <w:rFonts w:eastAsia="Times New Roman" w:cs="Times New Roman"/>
          <w:szCs w:val="24"/>
        </w:rPr>
        <w:t xml:space="preserve">exemples extrêmes, il est incontestable que la microfinance </w:t>
      </w:r>
      <w:r w:rsidR="00DF3507" w:rsidRPr="00DD7DA9">
        <w:rPr>
          <w:rFonts w:eastAsia="Times New Roman" w:cs="Times New Roman"/>
          <w:szCs w:val="24"/>
        </w:rPr>
        <w:t>génère de plus en plus souvent des dysfonctionnements qui tiennent pour beaucoup à l’abandon du lien social, à sa rationalisation et à la recherche de rentabilité : des populations (les plus fragiles) sont oubliées, l’accompagnement des projets se restreint, la mission s</w:t>
      </w:r>
      <w:r w:rsidR="00F239D8">
        <w:rPr>
          <w:rFonts w:eastAsia="Times New Roman" w:cs="Times New Roman"/>
          <w:szCs w:val="24"/>
        </w:rPr>
        <w:t>ociale</w:t>
      </w:r>
      <w:r w:rsidR="00DF3507" w:rsidRPr="00DD7DA9">
        <w:rPr>
          <w:rFonts w:eastAsia="Times New Roman" w:cs="Times New Roman"/>
          <w:szCs w:val="24"/>
        </w:rPr>
        <w:t xml:space="preserve"> devient secondaire, le surendettement monte, etc…</w:t>
      </w:r>
    </w:p>
    <w:p w:rsidR="009E2900" w:rsidRDefault="000B3EE2" w:rsidP="00C7129A">
      <w:pPr>
        <w:jc w:val="both"/>
        <w:rPr>
          <w:rFonts w:eastAsia="Times New Roman" w:cs="Times New Roman"/>
          <w:szCs w:val="24"/>
        </w:rPr>
      </w:pPr>
      <w:r w:rsidRPr="00102E57">
        <w:rPr>
          <w:rFonts w:eastAsia="Times New Roman" w:cs="Times New Roman"/>
          <w:szCs w:val="24"/>
        </w:rPr>
        <w:t>Par ailleurs, ce décalage peut amener le public visé à se détourner de la microf</w:t>
      </w:r>
      <w:r w:rsidR="00102E57">
        <w:rPr>
          <w:rFonts w:eastAsia="Times New Roman" w:cs="Times New Roman"/>
          <w:szCs w:val="24"/>
        </w:rPr>
        <w:t>inance. En cela, le cas</w:t>
      </w:r>
      <w:r w:rsidRPr="00102E57">
        <w:rPr>
          <w:rFonts w:eastAsia="Times New Roman" w:cs="Times New Roman"/>
          <w:szCs w:val="24"/>
        </w:rPr>
        <w:t xml:space="preserve"> de la finance coopérative </w:t>
      </w:r>
      <w:r w:rsidR="00102E57">
        <w:rPr>
          <w:rFonts w:eastAsia="Times New Roman" w:cs="Times New Roman"/>
          <w:szCs w:val="24"/>
        </w:rPr>
        <w:t xml:space="preserve">affecté par un phénomène de banalisation </w:t>
      </w:r>
      <w:r w:rsidRPr="00102E57">
        <w:rPr>
          <w:rFonts w:eastAsia="Times New Roman" w:cs="Times New Roman"/>
          <w:szCs w:val="24"/>
        </w:rPr>
        <w:t>est riche d’enseignements. Alors que les banques coopératives ont été créées pour répondre aux besoins de leurs membres, leur « normalisation » les a mené à être intégrées et assimilées au reste du système bancaire traditionnel</w:t>
      </w:r>
      <w:r w:rsidR="002327D0" w:rsidRPr="00102E57">
        <w:rPr>
          <w:rFonts w:eastAsia="Times New Roman" w:cs="Times New Roman"/>
          <w:szCs w:val="24"/>
        </w:rPr>
        <w:t xml:space="preserve"> et à susciter un manque d’intérêt</w:t>
      </w:r>
      <w:r w:rsidRPr="00102E57">
        <w:rPr>
          <w:rFonts w:eastAsia="Times New Roman" w:cs="Times New Roman"/>
          <w:szCs w:val="24"/>
        </w:rPr>
        <w:t>. Si la microfinance en prend le chemin, il est tout de même notable que la banalisation des coopératives financières s’est toujours accompagnée de l’émergence de nouvelles coopératives, voire de nouvelles formes de coopérations financières.</w:t>
      </w:r>
      <w:r w:rsidR="002327D0" w:rsidRPr="00102E57">
        <w:rPr>
          <w:rFonts w:eastAsia="Times New Roman" w:cs="Times New Roman"/>
          <w:szCs w:val="24"/>
        </w:rPr>
        <w:t xml:space="preserve"> En sera-t-il de même pour les IMF ?</w:t>
      </w:r>
    </w:p>
    <w:p w:rsidR="00DF3507" w:rsidRDefault="00DF3507" w:rsidP="00C7129A">
      <w:pPr>
        <w:jc w:val="both"/>
        <w:rPr>
          <w:rFonts w:eastAsia="Times New Roman" w:cs="Times New Roman"/>
          <w:szCs w:val="24"/>
        </w:rPr>
      </w:pPr>
    </w:p>
    <w:p w:rsidR="00DF3507" w:rsidRPr="00DF3507" w:rsidRDefault="00DF3507" w:rsidP="00DF3507">
      <w:pPr>
        <w:tabs>
          <w:tab w:val="center" w:pos="4536"/>
        </w:tabs>
        <w:spacing w:after="240"/>
        <w:ind w:firstLine="0"/>
        <w:outlineLvl w:val="0"/>
        <w:rPr>
          <w:rFonts w:eastAsia="Times New Roman" w:cs="Times New Roman"/>
          <w:b/>
          <w:sz w:val="28"/>
          <w:szCs w:val="24"/>
          <w:lang w:eastAsia="fr-FR"/>
        </w:rPr>
      </w:pPr>
      <w:r w:rsidRPr="00DF3507">
        <w:rPr>
          <w:rFonts w:eastAsia="Times New Roman" w:cs="Times New Roman"/>
          <w:b/>
          <w:sz w:val="28"/>
          <w:szCs w:val="24"/>
          <w:lang w:eastAsia="fr-FR"/>
        </w:rPr>
        <w:t>Conclusion</w:t>
      </w:r>
    </w:p>
    <w:p w:rsidR="001E2BD8" w:rsidRDefault="00FF526A" w:rsidP="001D2AD6">
      <w:pPr>
        <w:ind w:firstLine="0"/>
        <w:jc w:val="both"/>
        <w:rPr>
          <w:rFonts w:eastAsia="Times New Roman" w:cs="Times New Roman"/>
          <w:szCs w:val="24"/>
        </w:rPr>
      </w:pPr>
      <w:r>
        <w:rPr>
          <w:rFonts w:eastAsia="Times New Roman" w:cs="Times New Roman"/>
          <w:szCs w:val="24"/>
        </w:rPr>
        <w:t>La mobilisation du</w:t>
      </w:r>
      <w:r w:rsidR="001D2AD6">
        <w:rPr>
          <w:rFonts w:eastAsia="Times New Roman" w:cs="Times New Roman"/>
          <w:szCs w:val="24"/>
        </w:rPr>
        <w:t xml:space="preserve"> couple ingénieur</w:t>
      </w:r>
      <w:r w:rsidR="002F5685">
        <w:rPr>
          <w:rFonts w:eastAsia="Times New Roman" w:cs="Times New Roman"/>
          <w:szCs w:val="24"/>
        </w:rPr>
        <w:t>-bricoleur proposé par Claude Lé</w:t>
      </w:r>
      <w:r w:rsidR="001D2AD6">
        <w:rPr>
          <w:rFonts w:eastAsia="Times New Roman" w:cs="Times New Roman"/>
          <w:szCs w:val="24"/>
        </w:rPr>
        <w:t>vi-Strauss</w:t>
      </w:r>
      <w:r>
        <w:rPr>
          <w:rFonts w:eastAsia="Times New Roman" w:cs="Times New Roman"/>
          <w:szCs w:val="24"/>
        </w:rPr>
        <w:t xml:space="preserve"> associant mode de pensée et mode d’agir </w:t>
      </w:r>
      <w:r w:rsidR="005E2DF1">
        <w:rPr>
          <w:rFonts w:eastAsia="Times New Roman" w:cs="Times New Roman"/>
          <w:szCs w:val="24"/>
        </w:rPr>
        <w:t xml:space="preserve">apporte un nouvel éclairage sur </w:t>
      </w:r>
      <w:r>
        <w:rPr>
          <w:rFonts w:eastAsia="Times New Roman" w:cs="Times New Roman"/>
          <w:szCs w:val="24"/>
        </w:rPr>
        <w:t>les craintes</w:t>
      </w:r>
      <w:r w:rsidR="002F5685">
        <w:rPr>
          <w:rFonts w:eastAsia="Times New Roman" w:cs="Times New Roman"/>
          <w:szCs w:val="24"/>
        </w:rPr>
        <w:t>,</w:t>
      </w:r>
      <w:r>
        <w:rPr>
          <w:rFonts w:eastAsia="Times New Roman" w:cs="Times New Roman"/>
          <w:szCs w:val="24"/>
        </w:rPr>
        <w:t xml:space="preserve"> voire </w:t>
      </w:r>
      <w:r w:rsidR="002F5685">
        <w:rPr>
          <w:rFonts w:eastAsia="Times New Roman" w:cs="Times New Roman"/>
          <w:szCs w:val="24"/>
        </w:rPr>
        <w:t xml:space="preserve">les </w:t>
      </w:r>
      <w:r>
        <w:rPr>
          <w:rFonts w:eastAsia="Times New Roman" w:cs="Times New Roman"/>
          <w:szCs w:val="24"/>
        </w:rPr>
        <w:t xml:space="preserve">critiques de plus en plus formulées à l’encontre de la microfinance et de ses institutions. </w:t>
      </w:r>
    </w:p>
    <w:p w:rsidR="003636C1" w:rsidRDefault="00FF526A" w:rsidP="001E2BD8">
      <w:pPr>
        <w:ind w:firstLine="709"/>
        <w:jc w:val="both"/>
        <w:rPr>
          <w:rFonts w:eastAsia="Times New Roman" w:cs="Times New Roman"/>
          <w:szCs w:val="24"/>
        </w:rPr>
      </w:pPr>
      <w:r>
        <w:rPr>
          <w:rFonts w:eastAsia="Times New Roman" w:cs="Times New Roman"/>
          <w:szCs w:val="24"/>
        </w:rPr>
        <w:t xml:space="preserve">En effet, les processus de maturation, professionnalisation, </w:t>
      </w:r>
      <w:r w:rsidR="00EA75CC">
        <w:rPr>
          <w:rFonts w:eastAsia="Times New Roman" w:cs="Times New Roman"/>
          <w:szCs w:val="24"/>
        </w:rPr>
        <w:t xml:space="preserve">commercialisation induisent une </w:t>
      </w:r>
      <w:r w:rsidR="001E2BD8">
        <w:rPr>
          <w:rFonts w:eastAsia="Times New Roman" w:cs="Times New Roman"/>
          <w:szCs w:val="24"/>
        </w:rPr>
        <w:t>remise en cause</w:t>
      </w:r>
      <w:r w:rsidR="00EA75CC">
        <w:rPr>
          <w:rFonts w:eastAsia="Times New Roman" w:cs="Times New Roman"/>
          <w:szCs w:val="24"/>
        </w:rPr>
        <w:t xml:space="preserve"> accrue des composantes informelles</w:t>
      </w:r>
      <w:r w:rsidR="001E2BD8">
        <w:rPr>
          <w:rFonts w:eastAsia="Times New Roman" w:cs="Times New Roman"/>
          <w:szCs w:val="24"/>
        </w:rPr>
        <w:t xml:space="preserve"> de la microfinance</w:t>
      </w:r>
      <w:r w:rsidR="00EA75CC">
        <w:rPr>
          <w:rFonts w:eastAsia="Times New Roman" w:cs="Times New Roman"/>
          <w:szCs w:val="24"/>
        </w:rPr>
        <w:t xml:space="preserve"> qu’elle avait mis en place et qui semblait être un garant fort de son succès.</w:t>
      </w:r>
      <w:r w:rsidR="005E2DF1">
        <w:rPr>
          <w:rFonts w:eastAsia="Times New Roman" w:cs="Times New Roman"/>
          <w:szCs w:val="24"/>
        </w:rPr>
        <w:t xml:space="preserve"> </w:t>
      </w:r>
      <w:r w:rsidR="00550B90">
        <w:rPr>
          <w:rFonts w:eastAsia="Times New Roman" w:cs="Times New Roman"/>
          <w:szCs w:val="24"/>
        </w:rPr>
        <w:t xml:space="preserve">En effet, </w:t>
      </w:r>
      <w:r w:rsidR="001E2BD8">
        <w:rPr>
          <w:rFonts w:eastAsia="Times New Roman" w:cs="Times New Roman"/>
          <w:szCs w:val="24"/>
        </w:rPr>
        <w:t>c</w:t>
      </w:r>
      <w:r w:rsidR="00550B90">
        <w:rPr>
          <w:rFonts w:eastAsia="Times New Roman" w:cs="Times New Roman"/>
          <w:szCs w:val="24"/>
        </w:rPr>
        <w:t xml:space="preserve">es composantes informelles ont une persistance vive dans la dimension relationnelle </w:t>
      </w:r>
      <w:r w:rsidR="001E2BD8">
        <w:rPr>
          <w:rFonts w:eastAsia="Times New Roman" w:cs="Times New Roman"/>
          <w:szCs w:val="24"/>
        </w:rPr>
        <w:t>de ce type de</w:t>
      </w:r>
      <w:r w:rsidR="00550B90">
        <w:rPr>
          <w:rFonts w:eastAsia="Times New Roman" w:cs="Times New Roman"/>
          <w:szCs w:val="24"/>
        </w:rPr>
        <w:t xml:space="preserve"> transaction financière. En conséquen</w:t>
      </w:r>
      <w:r w:rsidR="001E2BD8">
        <w:rPr>
          <w:rFonts w:eastAsia="Times New Roman" w:cs="Times New Roman"/>
          <w:szCs w:val="24"/>
        </w:rPr>
        <w:t>ce, parce que la relation inter-</w:t>
      </w:r>
      <w:r w:rsidR="00550B90">
        <w:rPr>
          <w:rFonts w:eastAsia="Times New Roman" w:cs="Times New Roman"/>
          <w:szCs w:val="24"/>
        </w:rPr>
        <w:t>individus</w:t>
      </w:r>
      <w:r w:rsidR="002F5685">
        <w:rPr>
          <w:rFonts w:eastAsia="Times New Roman" w:cs="Times New Roman"/>
          <w:szCs w:val="24"/>
        </w:rPr>
        <w:t xml:space="preserve"> – sociale –</w:t>
      </w:r>
      <w:r w:rsidR="00550B90">
        <w:rPr>
          <w:rFonts w:eastAsia="Times New Roman" w:cs="Times New Roman"/>
          <w:szCs w:val="24"/>
        </w:rPr>
        <w:t xml:space="preserve"> apparaît comme cruciale dans le cadre de la microfinance, l’enjeu d’une compréhension réciproque des deux acteurs en présence fondée sur des modes de pensée non distants, voire proches s’avère indispensable. </w:t>
      </w:r>
      <w:r w:rsidR="005E2DF1">
        <w:rPr>
          <w:rFonts w:eastAsia="Times New Roman" w:cs="Times New Roman"/>
          <w:szCs w:val="24"/>
        </w:rPr>
        <w:t>L’</w:t>
      </w:r>
      <w:r w:rsidR="002F5685">
        <w:rPr>
          <w:rFonts w:eastAsia="Times New Roman" w:cs="Times New Roman"/>
          <w:szCs w:val="24"/>
        </w:rPr>
        <w:t>application du couple bricoleur-ingénieur au financeur-</w:t>
      </w:r>
      <w:r w:rsidR="005E2DF1">
        <w:rPr>
          <w:rFonts w:eastAsia="Times New Roman" w:cs="Times New Roman"/>
          <w:szCs w:val="24"/>
        </w:rPr>
        <w:t>financé</w:t>
      </w:r>
      <w:r w:rsidR="00550B90">
        <w:rPr>
          <w:rFonts w:eastAsia="Times New Roman" w:cs="Times New Roman"/>
          <w:szCs w:val="24"/>
        </w:rPr>
        <w:t xml:space="preserve"> souligne qu’il ne s’agit pas ainsi d’opposer des </w:t>
      </w:r>
      <w:r w:rsidR="001E2BD8" w:rsidRPr="002F5685">
        <w:rPr>
          <w:rFonts w:eastAsia="Times New Roman" w:cs="Times New Roman"/>
          <w:b/>
          <w:szCs w:val="24"/>
        </w:rPr>
        <w:t>façons</w:t>
      </w:r>
      <w:r w:rsidR="00550B90" w:rsidRPr="002F5685">
        <w:rPr>
          <w:rFonts w:eastAsia="Times New Roman" w:cs="Times New Roman"/>
          <w:b/>
          <w:szCs w:val="24"/>
        </w:rPr>
        <w:t xml:space="preserve"> de faire rationnelles</w:t>
      </w:r>
      <w:r w:rsidR="00550B90">
        <w:rPr>
          <w:rFonts w:eastAsia="Times New Roman" w:cs="Times New Roman"/>
          <w:szCs w:val="24"/>
        </w:rPr>
        <w:t xml:space="preserve"> et d’autres qui ne le seraient pas, mais bien de considérer que les unes comme les autres ont leur légitimité. Toutefois, dans le contexte spécifique de populations défavorisées, ces idéaux types permettent de saisir qu’il est indispensable si l’on veut accomplir une mission de </w:t>
      </w:r>
      <w:r w:rsidR="001E2BD8">
        <w:rPr>
          <w:rFonts w:eastAsia="Times New Roman" w:cs="Times New Roman"/>
          <w:szCs w:val="24"/>
        </w:rPr>
        <w:t>financement</w:t>
      </w:r>
      <w:r w:rsidR="00550B90">
        <w:rPr>
          <w:rFonts w:eastAsia="Times New Roman" w:cs="Times New Roman"/>
          <w:szCs w:val="24"/>
        </w:rPr>
        <w:t xml:space="preserve"> de certaines catégories de population </w:t>
      </w:r>
      <w:r w:rsidR="001E2BD8">
        <w:rPr>
          <w:rFonts w:eastAsia="Times New Roman" w:cs="Times New Roman"/>
          <w:szCs w:val="24"/>
        </w:rPr>
        <w:t>non ban</w:t>
      </w:r>
      <w:r w:rsidR="00550B90">
        <w:rPr>
          <w:rFonts w:eastAsia="Times New Roman" w:cs="Times New Roman"/>
          <w:szCs w:val="24"/>
        </w:rPr>
        <w:t>ca</w:t>
      </w:r>
      <w:r w:rsidR="001E2BD8">
        <w:rPr>
          <w:rFonts w:eastAsia="Times New Roman" w:cs="Times New Roman"/>
          <w:szCs w:val="24"/>
        </w:rPr>
        <w:t>risables</w:t>
      </w:r>
      <w:r w:rsidR="00550B90">
        <w:rPr>
          <w:rFonts w:eastAsia="Times New Roman" w:cs="Times New Roman"/>
          <w:szCs w:val="24"/>
        </w:rPr>
        <w:t xml:space="preserve"> de maintenir le lien, et de préserver les dimensions relationnelles et sociales qu’elle nécessite. </w:t>
      </w:r>
    </w:p>
    <w:p w:rsidR="00343C71" w:rsidRPr="00343C71" w:rsidRDefault="00550B90" w:rsidP="001E2BD8">
      <w:pPr>
        <w:ind w:firstLine="709"/>
        <w:jc w:val="both"/>
        <w:rPr>
          <w:rFonts w:eastAsia="Times New Roman" w:cs="Times New Roman"/>
          <w:i/>
          <w:szCs w:val="24"/>
        </w:rPr>
      </w:pPr>
      <w:r>
        <w:rPr>
          <w:rFonts w:eastAsia="Times New Roman" w:cs="Times New Roman"/>
          <w:szCs w:val="24"/>
        </w:rPr>
        <w:t xml:space="preserve">Cette </w:t>
      </w:r>
      <w:r w:rsidRPr="002F5685">
        <w:rPr>
          <w:rFonts w:eastAsia="Times New Roman" w:cs="Times New Roman"/>
          <w:b/>
          <w:szCs w:val="24"/>
        </w:rPr>
        <w:t>finance-là ne serait pas une finance sous optimale</w:t>
      </w:r>
      <w:r>
        <w:rPr>
          <w:rFonts w:eastAsia="Times New Roman" w:cs="Times New Roman"/>
          <w:szCs w:val="24"/>
        </w:rPr>
        <w:t xml:space="preserve">, </w:t>
      </w:r>
      <w:r w:rsidR="001E2BD8">
        <w:rPr>
          <w:rFonts w:eastAsia="Times New Roman" w:cs="Times New Roman"/>
          <w:szCs w:val="24"/>
        </w:rPr>
        <w:t>insuffisamment</w:t>
      </w:r>
      <w:r>
        <w:rPr>
          <w:rFonts w:eastAsia="Times New Roman" w:cs="Times New Roman"/>
          <w:szCs w:val="24"/>
        </w:rPr>
        <w:t xml:space="preserve"> rationnelle, mais une finance adapté</w:t>
      </w:r>
      <w:r w:rsidR="001E2BD8">
        <w:rPr>
          <w:rFonts w:eastAsia="Times New Roman" w:cs="Times New Roman"/>
          <w:szCs w:val="24"/>
        </w:rPr>
        <w:t>e</w:t>
      </w:r>
      <w:r>
        <w:rPr>
          <w:rFonts w:eastAsia="Times New Roman" w:cs="Times New Roman"/>
          <w:szCs w:val="24"/>
        </w:rPr>
        <w:t>, le chain</w:t>
      </w:r>
      <w:r w:rsidR="001E2BD8">
        <w:rPr>
          <w:rFonts w:eastAsia="Times New Roman" w:cs="Times New Roman"/>
          <w:szCs w:val="24"/>
        </w:rPr>
        <w:t>o</w:t>
      </w:r>
      <w:r>
        <w:rPr>
          <w:rFonts w:eastAsia="Times New Roman" w:cs="Times New Roman"/>
          <w:szCs w:val="24"/>
        </w:rPr>
        <w:t xml:space="preserve">n manquant </w:t>
      </w:r>
      <w:r w:rsidR="001E2BD8">
        <w:rPr>
          <w:rFonts w:eastAsia="Times New Roman" w:cs="Times New Roman"/>
          <w:szCs w:val="24"/>
        </w:rPr>
        <w:t xml:space="preserve">qui se positionne avec justesse et nécessité entre la finance informelle et la finance occidentale, dite classique ou conventionnelle. </w:t>
      </w:r>
      <w:r w:rsidR="001E2BD8" w:rsidRPr="001E2BD8">
        <w:rPr>
          <w:rFonts w:eastAsia="Times New Roman" w:cs="Times New Roman"/>
          <w:szCs w:val="24"/>
        </w:rPr>
        <w:t xml:space="preserve">Il s’agirait ainsi d’intégrer dans les structures de financement mises en place que la logique est le fait de </w:t>
      </w:r>
      <w:r w:rsidR="00343C71" w:rsidRPr="001E2BD8">
        <w:rPr>
          <w:rFonts w:eastAsia="Times New Roman" w:cs="Times New Roman"/>
          <w:szCs w:val="24"/>
        </w:rPr>
        <w:t>tout homme même si elle revêt des structurations et des formes différentes et</w:t>
      </w:r>
      <w:r w:rsidR="001E2BD8">
        <w:rPr>
          <w:rFonts w:eastAsia="Times New Roman" w:cs="Times New Roman"/>
          <w:szCs w:val="24"/>
        </w:rPr>
        <w:t xml:space="preserve"> met en œuvre des moyens divers</w:t>
      </w:r>
      <w:r w:rsidR="008D6169">
        <w:rPr>
          <w:rFonts w:eastAsia="Times New Roman" w:cs="Times New Roman"/>
          <w:szCs w:val="24"/>
        </w:rPr>
        <w:t>. Si d’aventures, certaines logiques semblent être aux antipodes d’autres, et qu’il existe un enjeu non</w:t>
      </w:r>
      <w:r w:rsidR="002F5685">
        <w:rPr>
          <w:rFonts w:eastAsia="Times New Roman" w:cs="Times New Roman"/>
          <w:szCs w:val="24"/>
        </w:rPr>
        <w:t xml:space="preserve"> négligeable voire fondamentale</w:t>
      </w:r>
      <w:r w:rsidR="008D6169">
        <w:rPr>
          <w:rFonts w:eastAsia="Times New Roman" w:cs="Times New Roman"/>
          <w:szCs w:val="24"/>
        </w:rPr>
        <w:t xml:space="preserve"> de financement de populations, se justifie alors de concevoir une </w:t>
      </w:r>
      <w:r w:rsidR="003636C1">
        <w:rPr>
          <w:rFonts w:eastAsia="Times New Roman" w:cs="Times New Roman"/>
          <w:szCs w:val="24"/>
        </w:rPr>
        <w:t>finance qui puisse répondre à ses besoins.</w:t>
      </w:r>
    </w:p>
    <w:p w:rsidR="00643946" w:rsidRPr="00643946" w:rsidRDefault="00643946" w:rsidP="00643946">
      <w:pPr>
        <w:spacing w:after="200" w:line="276" w:lineRule="auto"/>
        <w:ind w:firstLine="0"/>
        <w:rPr>
          <w:rFonts w:eastAsia="Calibri" w:cs="Times New Roman"/>
        </w:rPr>
      </w:pPr>
      <w:r w:rsidRPr="00643946">
        <w:rPr>
          <w:rFonts w:eastAsia="Calibri" w:cs="Times New Roman"/>
        </w:rPr>
        <w:br w:type="page"/>
      </w:r>
    </w:p>
    <w:p w:rsidR="00643946" w:rsidRPr="00643946" w:rsidRDefault="00643946" w:rsidP="00643946">
      <w:pPr>
        <w:ind w:firstLine="0"/>
        <w:rPr>
          <w:rFonts w:eastAsia="Times New Roman" w:cs="Times New Roman"/>
          <w:b/>
          <w:i/>
          <w:szCs w:val="20"/>
          <w:lang w:eastAsia="fr-FR"/>
        </w:rPr>
      </w:pPr>
      <w:r w:rsidRPr="00643946">
        <w:rPr>
          <w:rFonts w:eastAsia="Times New Roman" w:cs="Times New Roman"/>
          <w:b/>
          <w:i/>
          <w:szCs w:val="20"/>
          <w:lang w:eastAsia="fr-FR"/>
        </w:rPr>
        <w:t xml:space="preserve">Bibliographie </w:t>
      </w:r>
    </w:p>
    <w:p w:rsidR="00643946" w:rsidRPr="003C0974" w:rsidRDefault="003C0974" w:rsidP="002F5685">
      <w:pPr>
        <w:spacing w:line="240" w:lineRule="auto"/>
        <w:ind w:left="567" w:hanging="567"/>
        <w:jc w:val="both"/>
        <w:rPr>
          <w:rFonts w:eastAsia="Times New Roman" w:cs="Times New Roman"/>
          <w:sz w:val="22"/>
          <w:lang w:eastAsia="fr-FR"/>
        </w:rPr>
      </w:pPr>
      <w:r w:rsidRPr="003C0974">
        <w:rPr>
          <w:rFonts w:eastAsia="Times New Roman" w:cs="Times New Roman"/>
          <w:sz w:val="22"/>
          <w:lang w:eastAsia="fr-FR"/>
        </w:rPr>
        <w:t>Bateman M. et</w:t>
      </w:r>
      <w:r w:rsidR="00643946" w:rsidRPr="003C0974">
        <w:rPr>
          <w:rFonts w:eastAsia="Times New Roman" w:cs="Times New Roman"/>
          <w:sz w:val="22"/>
          <w:lang w:eastAsia="fr-FR"/>
        </w:rPr>
        <w:t xml:space="preserve"> Chang H.-J. (2009), “The Microfinance Illusion”, mimeo, http://www.hajoonchang.net/downloads/pdf/Microfinance.pdf.</w:t>
      </w:r>
    </w:p>
    <w:p w:rsidR="00643946" w:rsidRPr="00DD7DA9" w:rsidRDefault="00893FC4" w:rsidP="002F5685">
      <w:pPr>
        <w:spacing w:line="240" w:lineRule="auto"/>
        <w:ind w:left="567" w:hanging="567"/>
        <w:jc w:val="both"/>
        <w:rPr>
          <w:rFonts w:cs="Times New Roman"/>
          <w:sz w:val="22"/>
        </w:rPr>
      </w:pPr>
      <w:r w:rsidRPr="00DD7DA9">
        <w:rPr>
          <w:rFonts w:cs="Times New Roman"/>
          <w:sz w:val="22"/>
        </w:rPr>
        <w:t xml:space="preserve">Baumann, E. et Servet, J.-M. (2007), « La microfinance, une extension des marchés financiers. Réflexions à partir d’expériences sur trois continents (en Georgie, en Inde et au Sénégal) » </w:t>
      </w:r>
      <w:r w:rsidRPr="00DD7DA9">
        <w:rPr>
          <w:rFonts w:cs="Times New Roman"/>
          <w:i/>
          <w:sz w:val="22"/>
        </w:rPr>
        <w:t>in</w:t>
      </w:r>
      <w:r w:rsidRPr="00DD7DA9">
        <w:rPr>
          <w:rFonts w:cs="Times New Roman"/>
          <w:sz w:val="22"/>
        </w:rPr>
        <w:t xml:space="preserve"> Hernandez V., Phelinas P., Ould-Ahmed P. et </w:t>
      </w:r>
      <w:r w:rsidRPr="003F50AF">
        <w:rPr>
          <w:rFonts w:cs="Times New Roman"/>
          <w:i/>
          <w:sz w:val="22"/>
        </w:rPr>
        <w:t>al</w:t>
      </w:r>
      <w:r w:rsidRPr="00DD7DA9">
        <w:rPr>
          <w:rFonts w:cs="Times New Roman"/>
          <w:sz w:val="22"/>
        </w:rPr>
        <w:t xml:space="preserve">. (coord.), </w:t>
      </w:r>
      <w:r w:rsidRPr="00DD7DA9">
        <w:rPr>
          <w:rFonts w:cs="Times New Roman"/>
          <w:i/>
          <w:sz w:val="22"/>
        </w:rPr>
        <w:t>Turbulences monétaires et sociales. L’Amérique latine dans une perspective comparatiste</w:t>
      </w:r>
      <w:r w:rsidRPr="00DD7DA9">
        <w:rPr>
          <w:rFonts w:cs="Times New Roman"/>
          <w:sz w:val="22"/>
        </w:rPr>
        <w:t>, Paris, L’Harmatt</w:t>
      </w:r>
      <w:r w:rsidR="005D6D1D" w:rsidRPr="00DD7DA9">
        <w:rPr>
          <w:rFonts w:cs="Times New Roman"/>
          <w:sz w:val="22"/>
        </w:rPr>
        <w:t>an, p. 123-151</w:t>
      </w:r>
      <w:r w:rsidR="00DD7DA9" w:rsidRPr="00DD7DA9">
        <w:rPr>
          <w:rFonts w:cs="Times New Roman"/>
          <w:sz w:val="22"/>
        </w:rPr>
        <w:t>.</w:t>
      </w:r>
    </w:p>
    <w:p w:rsidR="00893FC4" w:rsidRPr="002F5685" w:rsidRDefault="00893FC4" w:rsidP="002F5685">
      <w:pPr>
        <w:spacing w:line="240" w:lineRule="auto"/>
        <w:ind w:left="567" w:hanging="567"/>
        <w:jc w:val="both"/>
        <w:rPr>
          <w:rFonts w:cs="Times New Roman"/>
          <w:sz w:val="22"/>
          <w:lang w:val="en-US"/>
        </w:rPr>
      </w:pPr>
      <w:r w:rsidRPr="002F5685">
        <w:rPr>
          <w:rFonts w:cs="Times New Roman"/>
          <w:sz w:val="22"/>
          <w:lang w:val="en-US"/>
        </w:rPr>
        <w:t>Bouman, F.J.A. (1977), « Indigeneous Savings and Credit Associations in the Third World: a Message</w:t>
      </w:r>
      <w:r w:rsidRPr="002F5685">
        <w:rPr>
          <w:rFonts w:cs="Times New Roman"/>
          <w:i/>
          <w:sz w:val="22"/>
          <w:lang w:val="en-US"/>
        </w:rPr>
        <w:t>”, Savings and Development</w:t>
      </w:r>
      <w:r w:rsidRPr="002F5685">
        <w:rPr>
          <w:rFonts w:cs="Times New Roman"/>
          <w:sz w:val="22"/>
          <w:lang w:val="en-US"/>
        </w:rPr>
        <w:t>, n°4, pp</w:t>
      </w:r>
      <w:r w:rsidR="003F50AF" w:rsidRPr="002F5685">
        <w:rPr>
          <w:rFonts w:cs="Times New Roman"/>
          <w:sz w:val="22"/>
          <w:lang w:val="en-US"/>
        </w:rPr>
        <w:t xml:space="preserve">. </w:t>
      </w:r>
      <w:r w:rsidRPr="002F5685">
        <w:rPr>
          <w:rFonts w:cs="Times New Roman"/>
          <w:sz w:val="22"/>
          <w:lang w:val="en-US"/>
        </w:rPr>
        <w:t>181-219</w:t>
      </w:r>
      <w:r w:rsidR="00DD7DA9" w:rsidRPr="002F5685">
        <w:rPr>
          <w:rFonts w:cs="Times New Roman"/>
          <w:sz w:val="22"/>
          <w:lang w:val="en-US"/>
        </w:rPr>
        <w:t>.</w:t>
      </w:r>
    </w:p>
    <w:p w:rsidR="00893FC4" w:rsidRPr="0040004A" w:rsidRDefault="00893FC4" w:rsidP="002F5685">
      <w:pPr>
        <w:autoSpaceDE w:val="0"/>
        <w:autoSpaceDN w:val="0"/>
        <w:adjustRightInd w:val="0"/>
        <w:spacing w:line="240" w:lineRule="auto"/>
        <w:ind w:left="567" w:hanging="567"/>
        <w:jc w:val="both"/>
        <w:rPr>
          <w:rFonts w:cs="Times New Roman"/>
          <w:sz w:val="22"/>
        </w:rPr>
      </w:pPr>
      <w:r w:rsidRPr="003C0974">
        <w:rPr>
          <w:rFonts w:cs="Times New Roman"/>
          <w:sz w:val="22"/>
        </w:rPr>
        <w:t xml:space="preserve">CGAP (2006), « Commercialisation de la microfinance », Dossier thématique, portail CGAP, </w:t>
      </w:r>
      <w:hyperlink r:id="rId11" w:history="1">
        <w:r w:rsidRPr="003C0974">
          <w:rPr>
            <w:rFonts w:cs="Times New Roman"/>
            <w:color w:val="0000FF" w:themeColor="hyperlink"/>
            <w:sz w:val="22"/>
            <w:u w:val="single"/>
          </w:rPr>
          <w:t>http://www.lamicrofinance.org/content/article/detail/18182</w:t>
        </w:r>
      </w:hyperlink>
      <w:r w:rsidRPr="003C0974">
        <w:rPr>
          <w:rFonts w:cs="Times New Roman"/>
          <w:sz w:val="22"/>
        </w:rPr>
        <w:t xml:space="preserve"> (consulté le 17 février 2013)</w:t>
      </w:r>
    </w:p>
    <w:p w:rsidR="00893FC4" w:rsidRPr="003C0974" w:rsidRDefault="00893FC4" w:rsidP="002F5685">
      <w:pPr>
        <w:spacing w:line="240" w:lineRule="auto"/>
        <w:ind w:left="567" w:hanging="567"/>
        <w:jc w:val="both"/>
        <w:rPr>
          <w:rFonts w:cs="Times New Roman"/>
          <w:sz w:val="22"/>
          <w:lang w:val="en-US"/>
        </w:rPr>
      </w:pPr>
      <w:r w:rsidRPr="003C0974">
        <w:rPr>
          <w:rFonts w:cs="Times New Roman"/>
          <w:sz w:val="22"/>
          <w:lang w:val="en-US"/>
        </w:rPr>
        <w:t xml:space="preserve">Drake, D. et Rhyne, E. (2002), </w:t>
      </w:r>
      <w:r w:rsidRPr="003C0974">
        <w:rPr>
          <w:rFonts w:cs="Times New Roman"/>
          <w:i/>
          <w:sz w:val="22"/>
          <w:lang w:val="en-US"/>
        </w:rPr>
        <w:t>The Commercialization of Microfinance: Balancing Business and Development</w:t>
      </w:r>
      <w:r w:rsidRPr="003C0974">
        <w:rPr>
          <w:rFonts w:cs="Times New Roman"/>
          <w:sz w:val="22"/>
          <w:lang w:val="en-US"/>
        </w:rPr>
        <w:t>, ACCION International, Kumarian Press, Bloomfield (États-Unis).</w:t>
      </w:r>
    </w:p>
    <w:p w:rsidR="00643946" w:rsidRPr="0040004A" w:rsidRDefault="005D6D1D" w:rsidP="002F5685">
      <w:pPr>
        <w:spacing w:line="240" w:lineRule="auto"/>
        <w:ind w:left="567" w:hanging="567"/>
        <w:jc w:val="both"/>
        <w:rPr>
          <w:rFonts w:eastAsia="Times New Roman" w:cs="Times New Roman"/>
          <w:sz w:val="22"/>
          <w:lang w:val="en-US" w:eastAsia="fr-FR"/>
        </w:rPr>
      </w:pPr>
      <w:r w:rsidRPr="003C0974">
        <w:rPr>
          <w:rFonts w:eastAsia="Times New Roman" w:cs="Times New Roman"/>
          <w:sz w:val="22"/>
          <w:lang w:val="en-US" w:eastAsia="fr-FR"/>
        </w:rPr>
        <w:t>Duymedjian R. et</w:t>
      </w:r>
      <w:r w:rsidR="00643946" w:rsidRPr="003C0974">
        <w:rPr>
          <w:rFonts w:eastAsia="Times New Roman" w:cs="Times New Roman"/>
          <w:sz w:val="22"/>
          <w:lang w:val="en-US" w:eastAsia="fr-FR"/>
        </w:rPr>
        <w:t xml:space="preserve"> Rüling C. (2010), “Towards a Foundation of Bricolage in Organization and Management Theory”, </w:t>
      </w:r>
      <w:r w:rsidR="00643946" w:rsidRPr="003C0974">
        <w:rPr>
          <w:rFonts w:eastAsia="Times New Roman" w:cs="Times New Roman"/>
          <w:i/>
          <w:sz w:val="22"/>
          <w:lang w:val="en-US" w:eastAsia="fr-FR"/>
        </w:rPr>
        <w:t>Organization Studies</w:t>
      </w:r>
      <w:r w:rsidR="00643946" w:rsidRPr="003C0974">
        <w:rPr>
          <w:rFonts w:eastAsia="Times New Roman" w:cs="Times New Roman"/>
          <w:sz w:val="22"/>
          <w:lang w:val="en-US" w:eastAsia="fr-FR"/>
        </w:rPr>
        <w:t>, February, vol. 31, pp. 133-151.</w:t>
      </w:r>
    </w:p>
    <w:p w:rsidR="00893FC4" w:rsidRPr="00DD7DA9" w:rsidRDefault="00893FC4" w:rsidP="002F5685">
      <w:pPr>
        <w:spacing w:line="240" w:lineRule="auto"/>
        <w:ind w:left="567" w:hanging="567"/>
        <w:jc w:val="both"/>
        <w:rPr>
          <w:rFonts w:cs="Times New Roman"/>
          <w:sz w:val="22"/>
        </w:rPr>
      </w:pPr>
      <w:r w:rsidRPr="00DD7DA9">
        <w:rPr>
          <w:rFonts w:cs="Times New Roman"/>
          <w:sz w:val="22"/>
        </w:rPr>
        <w:t xml:space="preserve">Flynn, P. (2007), « La microfinance et le ‘Consensus de Washington’», </w:t>
      </w:r>
      <w:r w:rsidRPr="00DD7DA9">
        <w:rPr>
          <w:rFonts w:cs="Times New Roman"/>
          <w:i/>
          <w:sz w:val="22"/>
        </w:rPr>
        <w:t>Problèmes économiques</w:t>
      </w:r>
      <w:r w:rsidRPr="00DD7DA9">
        <w:rPr>
          <w:rFonts w:cs="Times New Roman"/>
          <w:sz w:val="22"/>
        </w:rPr>
        <w:t xml:space="preserve">, 18 juillet, p. 17-21. [original : “Microfinance: the Newest Financial Technology of the Washington Consensus”, </w:t>
      </w:r>
      <w:r w:rsidRPr="00DD7DA9">
        <w:rPr>
          <w:rFonts w:cs="Times New Roman"/>
          <w:i/>
          <w:sz w:val="22"/>
        </w:rPr>
        <w:t>Challenge</w:t>
      </w:r>
      <w:r w:rsidRPr="00DD7DA9">
        <w:rPr>
          <w:rFonts w:cs="Times New Roman"/>
          <w:sz w:val="22"/>
        </w:rPr>
        <w:t>, vol. 50, n° 2, mars-avril 2007].</w:t>
      </w:r>
    </w:p>
    <w:p w:rsidR="00893FC4" w:rsidRPr="00DD7DA9" w:rsidRDefault="00893FC4" w:rsidP="002F5685">
      <w:pPr>
        <w:spacing w:line="240" w:lineRule="auto"/>
        <w:ind w:left="567" w:hanging="567"/>
        <w:jc w:val="both"/>
        <w:rPr>
          <w:rFonts w:cs="Times New Roman"/>
          <w:sz w:val="22"/>
        </w:rPr>
      </w:pPr>
      <w:r w:rsidRPr="00DD7DA9">
        <w:rPr>
          <w:rFonts w:cs="Times New Roman"/>
          <w:sz w:val="22"/>
        </w:rPr>
        <w:t xml:space="preserve">Fouillet, C. et </w:t>
      </w:r>
      <w:r w:rsidRPr="00DD7DA9">
        <w:rPr>
          <w:rFonts w:cs="Times New Roman"/>
          <w:i/>
          <w:sz w:val="22"/>
        </w:rPr>
        <w:t>al</w:t>
      </w:r>
      <w:r w:rsidRPr="00DD7DA9">
        <w:rPr>
          <w:rFonts w:cs="Times New Roman"/>
          <w:sz w:val="22"/>
        </w:rPr>
        <w:t xml:space="preserve">., (2007), « Le microcrédit au péril du néolibéralisme et de marchands d'illusions », </w:t>
      </w:r>
      <w:r w:rsidRPr="00DD7DA9">
        <w:rPr>
          <w:rFonts w:cs="Times New Roman"/>
          <w:i/>
          <w:sz w:val="22"/>
        </w:rPr>
        <w:t>Revue du Mauss</w:t>
      </w:r>
      <w:r w:rsidRPr="00DD7DA9">
        <w:rPr>
          <w:rFonts w:cs="Times New Roman"/>
          <w:sz w:val="22"/>
        </w:rPr>
        <w:t xml:space="preserve">, n° 29, </w:t>
      </w:r>
      <w:r w:rsidRPr="003F50AF">
        <w:rPr>
          <w:rFonts w:cs="Times New Roman"/>
          <w:sz w:val="22"/>
        </w:rPr>
        <w:t>1</w:t>
      </w:r>
      <w:r w:rsidRPr="003F50AF">
        <w:rPr>
          <w:rFonts w:cs="Times New Roman"/>
          <w:sz w:val="22"/>
          <w:vertAlign w:val="superscript"/>
        </w:rPr>
        <w:t>er</w:t>
      </w:r>
      <w:r w:rsidRPr="00DD7DA9">
        <w:rPr>
          <w:rFonts w:cs="Times New Roman"/>
          <w:sz w:val="22"/>
        </w:rPr>
        <w:t xml:space="preserve"> semestre, p</w:t>
      </w:r>
      <w:r w:rsidR="00DD7DA9">
        <w:rPr>
          <w:rFonts w:cs="Times New Roman"/>
          <w:sz w:val="22"/>
        </w:rPr>
        <w:t>p</w:t>
      </w:r>
      <w:r w:rsidRPr="00DD7DA9">
        <w:rPr>
          <w:rFonts w:cs="Times New Roman"/>
          <w:sz w:val="22"/>
        </w:rPr>
        <w:t>. 329-350.</w:t>
      </w:r>
    </w:p>
    <w:p w:rsidR="00CB0933" w:rsidRPr="0075191E" w:rsidRDefault="00CB0933" w:rsidP="002F5685">
      <w:pPr>
        <w:spacing w:line="240" w:lineRule="auto"/>
        <w:ind w:left="567" w:hanging="567"/>
        <w:jc w:val="both"/>
        <w:rPr>
          <w:rFonts w:cs="Times New Roman"/>
          <w:sz w:val="22"/>
          <w:highlight w:val="yellow"/>
        </w:rPr>
      </w:pPr>
      <w:r w:rsidRPr="0075191E">
        <w:rPr>
          <w:rFonts w:cs="Times New Roman"/>
          <w:sz w:val="22"/>
        </w:rPr>
        <w:t>Granger B., (2010), Servet - Duflo : sur la crise en Inde et les conceptions divergentes de la microfinance, sur son blog : http://benoit.granger.micfin.eu/tag/Servet, 28 décembre, (visité le 18/03/2013)</w:t>
      </w:r>
    </w:p>
    <w:p w:rsidR="00893FC4" w:rsidRPr="00DD7DA9" w:rsidRDefault="00893FC4" w:rsidP="002F5685">
      <w:pPr>
        <w:spacing w:line="240" w:lineRule="auto"/>
        <w:ind w:left="567" w:hanging="567"/>
        <w:jc w:val="both"/>
        <w:rPr>
          <w:rFonts w:cs="Times New Roman"/>
          <w:sz w:val="22"/>
          <w:lang w:val="en-US"/>
        </w:rPr>
      </w:pPr>
      <w:r w:rsidRPr="00DD7DA9">
        <w:rPr>
          <w:rFonts w:cs="Times New Roman"/>
          <w:sz w:val="22"/>
          <w:lang w:val="en-US"/>
        </w:rPr>
        <w:t xml:space="preserve">Granovetter, M. (1984), “Economic action and social structure: the problem of embeddedness”, </w:t>
      </w:r>
      <w:r w:rsidRPr="00DD7DA9">
        <w:rPr>
          <w:rFonts w:cs="Times New Roman"/>
          <w:i/>
          <w:sz w:val="22"/>
          <w:lang w:val="en-US"/>
        </w:rPr>
        <w:t>American Journal of Sociology</w:t>
      </w:r>
      <w:r w:rsidRPr="00DD7DA9">
        <w:rPr>
          <w:rFonts w:cs="Times New Roman"/>
          <w:sz w:val="22"/>
          <w:lang w:val="en-US"/>
        </w:rPr>
        <w:t xml:space="preserve">, vol.91, n°3, </w:t>
      </w:r>
      <w:r w:rsidR="00DD7DA9" w:rsidRPr="00DD7DA9">
        <w:rPr>
          <w:rFonts w:cs="Times New Roman"/>
          <w:sz w:val="22"/>
          <w:lang w:val="en-US"/>
        </w:rPr>
        <w:t>p</w:t>
      </w:r>
      <w:r w:rsidRPr="00DD7DA9">
        <w:rPr>
          <w:rFonts w:cs="Times New Roman"/>
          <w:sz w:val="22"/>
          <w:lang w:val="en-US"/>
        </w:rPr>
        <w:t>p. 481-510.</w:t>
      </w:r>
    </w:p>
    <w:p w:rsidR="00643946" w:rsidRPr="0040004A" w:rsidRDefault="005D6D1D" w:rsidP="002F5685">
      <w:pPr>
        <w:spacing w:line="240" w:lineRule="auto"/>
        <w:ind w:left="567" w:hanging="567"/>
        <w:jc w:val="both"/>
        <w:rPr>
          <w:rFonts w:eastAsia="Times New Roman" w:cs="Times New Roman"/>
          <w:sz w:val="22"/>
          <w:lang w:val="en-US" w:eastAsia="fr-FR"/>
        </w:rPr>
      </w:pPr>
      <w:r w:rsidRPr="003C0974">
        <w:rPr>
          <w:rFonts w:eastAsia="Times New Roman" w:cs="Times New Roman"/>
          <w:sz w:val="22"/>
          <w:lang w:val="en-US" w:eastAsia="fr-FR"/>
        </w:rPr>
        <w:t>German</w:t>
      </w:r>
      <w:r w:rsidR="003F50AF">
        <w:rPr>
          <w:rFonts w:eastAsia="Times New Roman" w:cs="Times New Roman"/>
          <w:sz w:val="22"/>
          <w:lang w:val="en-US" w:eastAsia="fr-FR"/>
        </w:rPr>
        <w:t>,</w:t>
      </w:r>
      <w:r w:rsidRPr="003C0974">
        <w:rPr>
          <w:rFonts w:eastAsia="Times New Roman" w:cs="Times New Roman"/>
          <w:sz w:val="22"/>
          <w:lang w:val="en-US" w:eastAsia="fr-FR"/>
        </w:rPr>
        <w:t xml:space="preserve"> T.P.et</w:t>
      </w:r>
      <w:r w:rsidR="00643946" w:rsidRPr="003C0974">
        <w:rPr>
          <w:rFonts w:eastAsia="Times New Roman" w:cs="Times New Roman"/>
          <w:sz w:val="22"/>
          <w:lang w:val="en-US" w:eastAsia="fr-FR"/>
        </w:rPr>
        <w:t xml:space="preserve"> Barrett</w:t>
      </w:r>
      <w:r w:rsidR="003F50AF">
        <w:rPr>
          <w:rFonts w:eastAsia="Times New Roman" w:cs="Times New Roman"/>
          <w:sz w:val="22"/>
          <w:lang w:val="en-US" w:eastAsia="fr-FR"/>
        </w:rPr>
        <w:t>,</w:t>
      </w:r>
      <w:r w:rsidR="00643946" w:rsidRPr="003C0974">
        <w:rPr>
          <w:rFonts w:eastAsia="Times New Roman" w:cs="Times New Roman"/>
          <w:sz w:val="22"/>
          <w:lang w:val="en-US" w:eastAsia="fr-FR"/>
        </w:rPr>
        <w:t xml:space="preserve"> H.C. (2005), “Functional Fixedness in a Technologically Sparse Culture”, </w:t>
      </w:r>
      <w:r w:rsidR="00643946" w:rsidRPr="003C0974">
        <w:rPr>
          <w:rFonts w:eastAsia="Times New Roman" w:cs="Times New Roman"/>
          <w:i/>
          <w:sz w:val="22"/>
          <w:lang w:val="en-US" w:eastAsia="fr-FR"/>
        </w:rPr>
        <w:t>Psychological Science,</w:t>
      </w:r>
      <w:r w:rsidR="00643946" w:rsidRPr="003C0974">
        <w:rPr>
          <w:rFonts w:eastAsia="Times New Roman" w:cs="Times New Roman"/>
          <w:sz w:val="22"/>
          <w:lang w:val="en-US" w:eastAsia="fr-FR"/>
        </w:rPr>
        <w:t xml:space="preserve"> n° 16, pp. 1-5.</w:t>
      </w:r>
    </w:p>
    <w:p w:rsidR="00893FC4" w:rsidRPr="00DD7DA9" w:rsidRDefault="00893FC4" w:rsidP="002F5685">
      <w:pPr>
        <w:spacing w:line="240" w:lineRule="auto"/>
        <w:ind w:left="567" w:hanging="567"/>
        <w:jc w:val="both"/>
        <w:rPr>
          <w:rFonts w:cs="Times New Roman"/>
          <w:sz w:val="22"/>
          <w:lang w:val="en-US"/>
        </w:rPr>
      </w:pPr>
      <w:r w:rsidRPr="00DD7DA9">
        <w:rPr>
          <w:rFonts w:cs="Times New Roman"/>
          <w:sz w:val="22"/>
          <w:lang w:val="en-US"/>
        </w:rPr>
        <w:t xml:space="preserve">Hashemi, S. (2007), « Beyond Good Intentions: Measuring the Social Performance of Microfinance Institutions », </w:t>
      </w:r>
      <w:r w:rsidRPr="00DD7DA9">
        <w:rPr>
          <w:rFonts w:cs="Times New Roman"/>
          <w:i/>
          <w:sz w:val="22"/>
          <w:lang w:val="en-US"/>
        </w:rPr>
        <w:t>Focus Note</w:t>
      </w:r>
      <w:r w:rsidRPr="00DD7DA9">
        <w:rPr>
          <w:rFonts w:cs="Times New Roman"/>
          <w:sz w:val="22"/>
          <w:lang w:val="en-US"/>
        </w:rPr>
        <w:t>, n° 41, CGAP, May, 12 p</w:t>
      </w:r>
      <w:r w:rsidR="00DD7DA9" w:rsidRPr="00DD7DA9">
        <w:rPr>
          <w:rFonts w:cs="Times New Roman"/>
          <w:sz w:val="22"/>
          <w:lang w:val="en-US"/>
        </w:rPr>
        <w:t>.</w:t>
      </w:r>
    </w:p>
    <w:p w:rsidR="005D6D1D" w:rsidRPr="00F239D8" w:rsidRDefault="00F239D8" w:rsidP="002F5685">
      <w:pPr>
        <w:autoSpaceDE w:val="0"/>
        <w:autoSpaceDN w:val="0"/>
        <w:adjustRightInd w:val="0"/>
        <w:spacing w:line="240" w:lineRule="auto"/>
        <w:ind w:left="567" w:hanging="567"/>
        <w:jc w:val="both"/>
        <w:rPr>
          <w:rFonts w:cs="Times New Roman"/>
          <w:bCs/>
          <w:sz w:val="22"/>
          <w:lang w:val="en-US"/>
        </w:rPr>
      </w:pPr>
      <w:r w:rsidRPr="00F239D8">
        <w:rPr>
          <w:rFonts w:cs="Times New Roman"/>
          <w:bCs/>
          <w:sz w:val="22"/>
          <w:lang w:val="en-US"/>
        </w:rPr>
        <w:t>Hirschman, A. (1958)</w:t>
      </w:r>
      <w:r>
        <w:rPr>
          <w:rFonts w:cs="Times New Roman"/>
          <w:bCs/>
          <w:sz w:val="22"/>
          <w:lang w:val="en-US"/>
        </w:rPr>
        <w:t>,</w:t>
      </w:r>
      <w:r w:rsidRPr="00F239D8">
        <w:rPr>
          <w:rFonts w:cs="Times New Roman"/>
          <w:bCs/>
          <w:sz w:val="22"/>
          <w:lang w:val="en-US"/>
        </w:rPr>
        <w:t xml:space="preserve"> </w:t>
      </w:r>
      <w:r w:rsidRPr="00F239D8">
        <w:rPr>
          <w:rFonts w:cs="Times New Roman"/>
          <w:bCs/>
          <w:i/>
          <w:sz w:val="22"/>
          <w:lang w:val="en-US"/>
        </w:rPr>
        <w:t>The Strategy of Economic Development</w:t>
      </w:r>
      <w:r>
        <w:rPr>
          <w:rFonts w:cs="Times New Roman"/>
          <w:bCs/>
          <w:sz w:val="22"/>
          <w:lang w:val="en-US"/>
        </w:rPr>
        <w:t xml:space="preserve">, </w:t>
      </w:r>
      <w:r w:rsidRPr="00F239D8">
        <w:rPr>
          <w:rFonts w:cs="Times New Roman"/>
          <w:bCs/>
          <w:sz w:val="22"/>
          <w:lang w:val="en-US"/>
        </w:rPr>
        <w:t>New Haven, Yale University.</w:t>
      </w:r>
    </w:p>
    <w:p w:rsidR="00893FC4" w:rsidRPr="005D6D1D" w:rsidRDefault="00893FC4" w:rsidP="002F5685">
      <w:pPr>
        <w:autoSpaceDE w:val="0"/>
        <w:autoSpaceDN w:val="0"/>
        <w:adjustRightInd w:val="0"/>
        <w:spacing w:line="240" w:lineRule="auto"/>
        <w:ind w:left="567" w:hanging="567"/>
        <w:jc w:val="both"/>
        <w:rPr>
          <w:rFonts w:cs="Times New Roman"/>
          <w:bCs/>
          <w:color w:val="000000"/>
          <w:sz w:val="22"/>
        </w:rPr>
      </w:pPr>
      <w:r w:rsidRPr="005D6D1D">
        <w:rPr>
          <w:rFonts w:cs="Times New Roman"/>
          <w:bCs/>
          <w:sz w:val="22"/>
        </w:rPr>
        <w:t xml:space="preserve">Labie, M. </w:t>
      </w:r>
      <w:r w:rsidRPr="005D6D1D">
        <w:rPr>
          <w:rFonts w:cs="Times New Roman"/>
          <w:bCs/>
          <w:iCs/>
          <w:sz w:val="22"/>
        </w:rPr>
        <w:t xml:space="preserve">et </w:t>
      </w:r>
      <w:r w:rsidRPr="005D6D1D">
        <w:rPr>
          <w:rFonts w:cs="Times New Roman"/>
          <w:bCs/>
          <w:i/>
          <w:iCs/>
          <w:sz w:val="22"/>
        </w:rPr>
        <w:t>al.</w:t>
      </w:r>
      <w:r w:rsidRPr="005D6D1D">
        <w:rPr>
          <w:rFonts w:cs="Times New Roman"/>
          <w:bCs/>
          <w:iCs/>
          <w:sz w:val="22"/>
        </w:rPr>
        <w:t xml:space="preserve"> (2010,)</w:t>
      </w:r>
      <w:r w:rsidRPr="005D6D1D">
        <w:rPr>
          <w:rFonts w:cs="Times New Roman"/>
          <w:bCs/>
          <w:i/>
          <w:iCs/>
          <w:sz w:val="22"/>
        </w:rPr>
        <w:t xml:space="preserve"> </w:t>
      </w:r>
      <w:r w:rsidRPr="005D6D1D">
        <w:rPr>
          <w:rFonts w:cs="Times New Roman"/>
          <w:color w:val="000000"/>
          <w:sz w:val="22"/>
        </w:rPr>
        <w:t xml:space="preserve">Microfinance : le temps de la maturité ?, </w:t>
      </w:r>
      <w:r w:rsidRPr="005D6D1D">
        <w:rPr>
          <w:rFonts w:cs="Times New Roman"/>
          <w:i/>
          <w:iCs/>
          <w:color w:val="000000"/>
          <w:sz w:val="22"/>
        </w:rPr>
        <w:t xml:space="preserve">Mondes en développement, </w:t>
      </w:r>
      <w:r w:rsidRPr="005D6D1D">
        <w:rPr>
          <w:rFonts w:cs="Times New Roman"/>
          <w:bCs/>
          <w:color w:val="000000"/>
          <w:sz w:val="22"/>
        </w:rPr>
        <w:t>4 - n° 152, pp. 7-11.</w:t>
      </w:r>
    </w:p>
    <w:p w:rsidR="00893FC4" w:rsidRPr="0040004A" w:rsidRDefault="00893FC4" w:rsidP="002F5685">
      <w:pPr>
        <w:autoSpaceDE w:val="0"/>
        <w:autoSpaceDN w:val="0"/>
        <w:adjustRightInd w:val="0"/>
        <w:spacing w:line="240" w:lineRule="auto"/>
        <w:ind w:left="567" w:hanging="567"/>
        <w:jc w:val="both"/>
        <w:rPr>
          <w:rFonts w:cs="Times New Roman"/>
          <w:bCs/>
          <w:color w:val="000000"/>
          <w:sz w:val="22"/>
        </w:rPr>
      </w:pPr>
      <w:r w:rsidRPr="005D6D1D">
        <w:rPr>
          <w:rFonts w:cs="Times New Roman"/>
          <w:bCs/>
          <w:color w:val="000000"/>
          <w:sz w:val="22"/>
        </w:rPr>
        <w:t>Labie M. (2004) « Microfinance : un état des lieux »,</w:t>
      </w:r>
      <w:r w:rsidRPr="005D6D1D">
        <w:rPr>
          <w:rFonts w:cs="Times New Roman"/>
          <w:sz w:val="22"/>
        </w:rPr>
        <w:t xml:space="preserve"> </w:t>
      </w:r>
      <w:r w:rsidRPr="005D6D1D">
        <w:rPr>
          <w:rFonts w:cs="Times New Roman"/>
          <w:bCs/>
          <w:i/>
          <w:color w:val="000000"/>
          <w:sz w:val="22"/>
        </w:rPr>
        <w:t>Mondes en développement</w:t>
      </w:r>
      <w:r w:rsidRPr="005D6D1D">
        <w:rPr>
          <w:rFonts w:cs="Times New Roman"/>
          <w:bCs/>
          <w:color w:val="000000"/>
          <w:sz w:val="22"/>
        </w:rPr>
        <w:t>, 2- n° 126, pp. 9-23.</w:t>
      </w:r>
    </w:p>
    <w:p w:rsidR="005D6D1D" w:rsidRPr="003F50AF" w:rsidRDefault="005D6D1D" w:rsidP="002F5685">
      <w:pPr>
        <w:spacing w:line="240" w:lineRule="auto"/>
        <w:ind w:left="567" w:hanging="567"/>
        <w:jc w:val="both"/>
        <w:rPr>
          <w:rFonts w:eastAsia="Times New Roman" w:cs="Times New Roman"/>
          <w:sz w:val="22"/>
          <w:lang w:eastAsia="fr-FR"/>
        </w:rPr>
      </w:pPr>
      <w:r w:rsidRPr="003F50AF">
        <w:rPr>
          <w:rFonts w:eastAsia="Times New Roman" w:cs="Times New Roman"/>
          <w:sz w:val="22"/>
          <w:lang w:eastAsia="fr-FR"/>
        </w:rPr>
        <w:t>Lelart</w:t>
      </w:r>
      <w:r w:rsidR="003F50AF" w:rsidRPr="003F50AF">
        <w:rPr>
          <w:rFonts w:eastAsia="Times New Roman" w:cs="Times New Roman"/>
          <w:sz w:val="22"/>
          <w:lang w:eastAsia="fr-FR"/>
        </w:rPr>
        <w:t>, M.</w:t>
      </w:r>
      <w:r w:rsidRPr="003F50AF">
        <w:rPr>
          <w:rFonts w:eastAsia="Times New Roman" w:cs="Times New Roman"/>
          <w:sz w:val="22"/>
          <w:lang w:eastAsia="fr-FR"/>
        </w:rPr>
        <w:t xml:space="preserve"> (2005</w:t>
      </w:r>
      <w:r w:rsidR="009C502D" w:rsidRPr="003F50AF">
        <w:rPr>
          <w:rFonts w:eastAsia="Times New Roman" w:cs="Times New Roman"/>
          <w:sz w:val="22"/>
          <w:lang w:eastAsia="fr-FR"/>
        </w:rPr>
        <w:t>),</w:t>
      </w:r>
      <w:r w:rsidR="009C502D" w:rsidRPr="003F50AF">
        <w:rPr>
          <w:rFonts w:eastAsia="Times New Roman" w:cs="Times New Roman"/>
          <w:i/>
          <w:sz w:val="22"/>
          <w:lang w:eastAsia="fr-FR"/>
        </w:rPr>
        <w:t xml:space="preserve"> De la finance informelle à la microfinance</w:t>
      </w:r>
      <w:r w:rsidR="009C502D" w:rsidRPr="003F50AF">
        <w:rPr>
          <w:rFonts w:eastAsia="Times New Roman" w:cs="Times New Roman"/>
          <w:sz w:val="22"/>
          <w:lang w:eastAsia="fr-FR"/>
        </w:rPr>
        <w:t xml:space="preserve">, </w:t>
      </w:r>
      <w:r w:rsidR="003F50AF" w:rsidRPr="003F50AF">
        <w:rPr>
          <w:rFonts w:eastAsia="Times New Roman" w:cs="Times New Roman"/>
          <w:sz w:val="22"/>
          <w:lang w:eastAsia="fr-FR"/>
        </w:rPr>
        <w:t>Éditions</w:t>
      </w:r>
      <w:r w:rsidR="009C502D" w:rsidRPr="003F50AF">
        <w:rPr>
          <w:rFonts w:eastAsia="Times New Roman" w:cs="Times New Roman"/>
          <w:sz w:val="22"/>
          <w:lang w:eastAsia="fr-FR"/>
        </w:rPr>
        <w:t xml:space="preserve"> des Archives Contemporaines, AUF</w:t>
      </w:r>
      <w:r w:rsidR="007C325D" w:rsidRPr="003F50AF">
        <w:rPr>
          <w:rFonts w:eastAsia="Times New Roman" w:cs="Times New Roman"/>
          <w:sz w:val="22"/>
          <w:lang w:eastAsia="fr-FR"/>
        </w:rPr>
        <w:t xml:space="preserve">, </w:t>
      </w:r>
      <w:r w:rsidR="003F50AF" w:rsidRPr="003F50AF">
        <w:rPr>
          <w:rFonts w:eastAsia="Times New Roman" w:cs="Times New Roman"/>
          <w:sz w:val="22"/>
          <w:lang w:eastAsia="fr-FR"/>
        </w:rPr>
        <w:t>Paris.</w:t>
      </w:r>
    </w:p>
    <w:p w:rsidR="00643946" w:rsidRPr="0040004A" w:rsidRDefault="00643946" w:rsidP="002F5685">
      <w:pPr>
        <w:spacing w:line="240" w:lineRule="auto"/>
        <w:ind w:left="567" w:hanging="567"/>
        <w:jc w:val="both"/>
        <w:rPr>
          <w:rFonts w:eastAsia="Times New Roman" w:cs="Times New Roman"/>
          <w:sz w:val="22"/>
          <w:lang w:eastAsia="fr-FR"/>
        </w:rPr>
      </w:pPr>
      <w:r w:rsidRPr="005D6D1D">
        <w:rPr>
          <w:rFonts w:eastAsia="Times New Roman" w:cs="Times New Roman"/>
          <w:sz w:val="22"/>
          <w:lang w:eastAsia="fr-FR"/>
        </w:rPr>
        <w:t>Lévi-Strauss</w:t>
      </w:r>
      <w:r w:rsidR="003F50AF">
        <w:rPr>
          <w:rFonts w:eastAsia="Times New Roman" w:cs="Times New Roman"/>
          <w:sz w:val="22"/>
          <w:lang w:eastAsia="fr-FR"/>
        </w:rPr>
        <w:t>,</w:t>
      </w:r>
      <w:r w:rsidRPr="005D6D1D">
        <w:rPr>
          <w:rFonts w:eastAsia="Times New Roman" w:cs="Times New Roman"/>
          <w:sz w:val="22"/>
          <w:lang w:eastAsia="fr-FR"/>
        </w:rPr>
        <w:t xml:space="preserve"> C. (1962), </w:t>
      </w:r>
      <w:r w:rsidRPr="005D6D1D">
        <w:rPr>
          <w:rFonts w:eastAsia="Times New Roman" w:cs="Times New Roman"/>
          <w:i/>
          <w:sz w:val="22"/>
          <w:lang w:eastAsia="fr-FR"/>
        </w:rPr>
        <w:t>La pensée sauvage</w:t>
      </w:r>
      <w:r w:rsidRPr="005D6D1D">
        <w:rPr>
          <w:rFonts w:eastAsia="Times New Roman" w:cs="Times New Roman"/>
          <w:sz w:val="22"/>
          <w:lang w:eastAsia="fr-FR"/>
        </w:rPr>
        <w:t>, Paris: Plon.</w:t>
      </w:r>
    </w:p>
    <w:p w:rsidR="00643946" w:rsidRPr="0040004A" w:rsidRDefault="00643946" w:rsidP="002F5685">
      <w:pPr>
        <w:spacing w:line="240" w:lineRule="auto"/>
        <w:ind w:left="567" w:hanging="567"/>
        <w:jc w:val="both"/>
        <w:rPr>
          <w:rFonts w:eastAsia="Times New Roman" w:cs="Times New Roman"/>
          <w:sz w:val="22"/>
          <w:lang w:eastAsia="fr-FR"/>
        </w:rPr>
      </w:pPr>
      <w:r w:rsidRPr="003C0974">
        <w:rPr>
          <w:rFonts w:eastAsia="Times New Roman" w:cs="Times New Roman"/>
          <w:sz w:val="22"/>
          <w:lang w:eastAsia="fr-FR"/>
        </w:rPr>
        <w:t>Lévi-Strauss</w:t>
      </w:r>
      <w:r w:rsidR="003F50AF">
        <w:rPr>
          <w:rFonts w:eastAsia="Times New Roman" w:cs="Times New Roman"/>
          <w:sz w:val="22"/>
          <w:lang w:eastAsia="fr-FR"/>
        </w:rPr>
        <w:t>,</w:t>
      </w:r>
      <w:r w:rsidRPr="003C0974">
        <w:rPr>
          <w:rFonts w:eastAsia="Times New Roman" w:cs="Times New Roman"/>
          <w:sz w:val="22"/>
          <w:lang w:eastAsia="fr-FR"/>
        </w:rPr>
        <w:t xml:space="preserve"> C. quoted by Sorman, G. (1989), </w:t>
      </w:r>
      <w:r w:rsidRPr="003C0974">
        <w:rPr>
          <w:rFonts w:eastAsia="Times New Roman" w:cs="Times New Roman"/>
          <w:i/>
          <w:iCs/>
          <w:sz w:val="22"/>
          <w:lang w:eastAsia="fr-FR"/>
        </w:rPr>
        <w:t>Les vrais penseurs de notre temps</w:t>
      </w:r>
      <w:r w:rsidRPr="003C0974">
        <w:rPr>
          <w:rFonts w:eastAsia="Times New Roman" w:cs="Times New Roman"/>
          <w:sz w:val="22"/>
          <w:lang w:eastAsia="fr-FR"/>
        </w:rPr>
        <w:t xml:space="preserve">, </w:t>
      </w:r>
      <w:hyperlink r:id="rId12" w:history="1">
        <w:r w:rsidRPr="003C0974">
          <w:rPr>
            <w:rFonts w:eastAsia="Times New Roman" w:cs="Times New Roman"/>
            <w:color w:val="0000FF" w:themeColor="hyperlink"/>
            <w:sz w:val="22"/>
            <w:u w:val="single"/>
            <w:lang w:eastAsia="fr-FR"/>
          </w:rPr>
          <w:t>http://www.philo5.com/Les%20vrais%20penseurs/08%20-%20Claude%20Levi-Strauss.htm</w:t>
        </w:r>
      </w:hyperlink>
      <w:r w:rsidRPr="003C0974">
        <w:rPr>
          <w:rFonts w:eastAsia="Times New Roman" w:cs="Times New Roman"/>
          <w:sz w:val="22"/>
          <w:lang w:eastAsia="fr-FR"/>
        </w:rPr>
        <w:t>, consulted in April 2012.</w:t>
      </w:r>
    </w:p>
    <w:p w:rsidR="009C502D" w:rsidRPr="00DD7DA9" w:rsidRDefault="009C502D" w:rsidP="002F5685">
      <w:pPr>
        <w:autoSpaceDE w:val="0"/>
        <w:autoSpaceDN w:val="0"/>
        <w:adjustRightInd w:val="0"/>
        <w:spacing w:line="240" w:lineRule="auto"/>
        <w:ind w:left="567" w:hanging="567"/>
        <w:jc w:val="both"/>
        <w:rPr>
          <w:rFonts w:cs="Times New Roman"/>
          <w:bCs/>
          <w:sz w:val="22"/>
          <w:lang w:val="en-US"/>
        </w:rPr>
      </w:pPr>
      <w:r w:rsidRPr="00DD7DA9">
        <w:rPr>
          <w:rFonts w:cs="Times New Roman"/>
          <w:bCs/>
          <w:sz w:val="22"/>
          <w:lang w:val="en-US"/>
        </w:rPr>
        <w:t>Lewis, W.-A</w:t>
      </w:r>
      <w:r w:rsidR="00DD7DA9">
        <w:rPr>
          <w:rFonts w:cs="Times New Roman"/>
          <w:bCs/>
          <w:sz w:val="22"/>
          <w:lang w:val="en-US"/>
        </w:rPr>
        <w:t>.</w:t>
      </w:r>
      <w:r w:rsidRPr="00DD7DA9">
        <w:rPr>
          <w:rFonts w:cs="Times New Roman"/>
          <w:bCs/>
          <w:sz w:val="22"/>
          <w:lang w:val="en-US"/>
        </w:rPr>
        <w:t xml:space="preserve"> (1954), Economic Development with Unlimited Supplies of Labour, </w:t>
      </w:r>
      <w:r w:rsidR="00DD7DA9">
        <w:rPr>
          <w:rFonts w:cs="Times New Roman"/>
          <w:bCs/>
          <w:i/>
          <w:sz w:val="22"/>
          <w:lang w:val="en-US"/>
        </w:rPr>
        <w:t xml:space="preserve">The </w:t>
      </w:r>
      <w:r w:rsidRPr="00DD7DA9">
        <w:rPr>
          <w:rFonts w:cs="Times New Roman"/>
          <w:bCs/>
          <w:i/>
          <w:sz w:val="22"/>
          <w:lang w:val="en-US"/>
        </w:rPr>
        <w:t>Manchester School</w:t>
      </w:r>
      <w:r w:rsidRPr="00DD7DA9">
        <w:rPr>
          <w:rFonts w:cs="Times New Roman"/>
          <w:bCs/>
          <w:sz w:val="22"/>
          <w:lang w:val="en-US"/>
        </w:rPr>
        <w:t>, Vol. 22, pp. 139–191</w:t>
      </w:r>
      <w:r w:rsidR="00DD7DA9" w:rsidRPr="00DD7DA9">
        <w:rPr>
          <w:rFonts w:cs="Times New Roman"/>
          <w:bCs/>
          <w:sz w:val="22"/>
          <w:lang w:val="en-US"/>
        </w:rPr>
        <w:t>.</w:t>
      </w:r>
    </w:p>
    <w:p w:rsidR="00893FC4" w:rsidRPr="0040004A" w:rsidRDefault="00893FC4" w:rsidP="002F5685">
      <w:pPr>
        <w:autoSpaceDE w:val="0"/>
        <w:autoSpaceDN w:val="0"/>
        <w:adjustRightInd w:val="0"/>
        <w:spacing w:line="240" w:lineRule="auto"/>
        <w:ind w:left="567" w:hanging="567"/>
        <w:jc w:val="both"/>
        <w:rPr>
          <w:rFonts w:cs="Times New Roman"/>
          <w:bCs/>
          <w:color w:val="000000"/>
          <w:sz w:val="22"/>
        </w:rPr>
      </w:pPr>
      <w:r w:rsidRPr="003F50AF">
        <w:rPr>
          <w:rFonts w:cs="Times New Roman"/>
          <w:bCs/>
          <w:color w:val="000000"/>
          <w:sz w:val="22"/>
        </w:rPr>
        <w:t>Morvant-Roux,</w:t>
      </w:r>
      <w:r w:rsidR="003F50AF" w:rsidRPr="003F50AF">
        <w:rPr>
          <w:rFonts w:cs="Times New Roman"/>
          <w:bCs/>
          <w:color w:val="000000"/>
          <w:sz w:val="22"/>
        </w:rPr>
        <w:t xml:space="preserve"> S.</w:t>
      </w:r>
      <w:r w:rsidRPr="003F50AF">
        <w:rPr>
          <w:rFonts w:cs="Times New Roman"/>
          <w:bCs/>
          <w:color w:val="000000"/>
          <w:sz w:val="22"/>
        </w:rPr>
        <w:t xml:space="preserve"> (2006</w:t>
      </w:r>
      <w:r w:rsidRPr="009C502D">
        <w:rPr>
          <w:rFonts w:cs="Times New Roman"/>
          <w:bCs/>
          <w:color w:val="000000"/>
          <w:sz w:val="22"/>
        </w:rPr>
        <w:t xml:space="preserve">). </w:t>
      </w:r>
      <w:r w:rsidRPr="005D6D1D">
        <w:rPr>
          <w:rFonts w:cs="Times New Roman"/>
          <w:bCs/>
          <w:color w:val="000000"/>
          <w:sz w:val="22"/>
        </w:rPr>
        <w:t>« Processus d’appropriation des dispositifs de microfinance : un exemple en milieu rural mexicain », Thèse de doctorat, Université Lumière – Lyon 2, 431 p.</w:t>
      </w:r>
    </w:p>
    <w:p w:rsidR="00643946" w:rsidRPr="0040004A" w:rsidRDefault="00643946" w:rsidP="002F5685">
      <w:pPr>
        <w:spacing w:line="240" w:lineRule="auto"/>
        <w:ind w:left="567" w:hanging="567"/>
        <w:jc w:val="both"/>
        <w:rPr>
          <w:rFonts w:eastAsia="Times New Roman" w:cs="Times New Roman"/>
          <w:sz w:val="22"/>
          <w:lang w:val="en-US" w:eastAsia="fr-FR"/>
        </w:rPr>
      </w:pPr>
      <w:r w:rsidRPr="005D6D1D">
        <w:rPr>
          <w:rFonts w:eastAsia="Times New Roman" w:cs="Times New Roman"/>
          <w:sz w:val="22"/>
          <w:lang w:val="en-US" w:eastAsia="fr-FR"/>
        </w:rPr>
        <w:t xml:space="preserve">Nisbett R.E. (2003), </w:t>
      </w:r>
      <w:r w:rsidRPr="005D6D1D">
        <w:rPr>
          <w:rFonts w:eastAsia="Times New Roman" w:cs="Times New Roman"/>
          <w:i/>
          <w:sz w:val="22"/>
          <w:lang w:val="en-US" w:eastAsia="fr-FR"/>
        </w:rPr>
        <w:t>The Geography of Thought</w:t>
      </w:r>
      <w:r w:rsidRPr="005D6D1D">
        <w:rPr>
          <w:rFonts w:eastAsia="Times New Roman" w:cs="Times New Roman"/>
          <w:sz w:val="22"/>
          <w:lang w:val="en-US" w:eastAsia="fr-FR"/>
        </w:rPr>
        <w:t>, New York: Free Press.</w:t>
      </w:r>
    </w:p>
    <w:p w:rsidR="005D6D1D" w:rsidRPr="003F50AF" w:rsidRDefault="00F761B6" w:rsidP="002F5685">
      <w:pPr>
        <w:autoSpaceDE w:val="0"/>
        <w:autoSpaceDN w:val="0"/>
        <w:adjustRightInd w:val="0"/>
        <w:spacing w:line="240" w:lineRule="auto"/>
        <w:ind w:left="567" w:hanging="567"/>
        <w:jc w:val="both"/>
        <w:rPr>
          <w:rFonts w:cs="Times New Roman"/>
          <w:bCs/>
          <w:sz w:val="22"/>
        </w:rPr>
      </w:pPr>
      <w:r w:rsidRPr="003F50AF">
        <w:rPr>
          <w:rFonts w:cs="Times New Roman"/>
          <w:bCs/>
          <w:sz w:val="22"/>
        </w:rPr>
        <w:t>P</w:t>
      </w:r>
      <w:r w:rsidR="005D6D1D" w:rsidRPr="003F50AF">
        <w:rPr>
          <w:rFonts w:cs="Times New Roman"/>
          <w:bCs/>
          <w:sz w:val="22"/>
        </w:rPr>
        <w:t>erroux,</w:t>
      </w:r>
      <w:r w:rsidR="003F50AF">
        <w:rPr>
          <w:rFonts w:cs="Times New Roman"/>
          <w:bCs/>
          <w:sz w:val="22"/>
        </w:rPr>
        <w:t xml:space="preserve"> F.</w:t>
      </w:r>
      <w:r w:rsidR="003F50AF" w:rsidRPr="003F50AF">
        <w:rPr>
          <w:rFonts w:cs="Times New Roman"/>
          <w:bCs/>
          <w:sz w:val="22"/>
        </w:rPr>
        <w:t xml:space="preserve"> (1961</w:t>
      </w:r>
      <w:r w:rsidR="00CB0933" w:rsidRPr="003F50AF">
        <w:rPr>
          <w:rFonts w:cs="Times New Roman"/>
          <w:bCs/>
          <w:sz w:val="22"/>
        </w:rPr>
        <w:t xml:space="preserve">), </w:t>
      </w:r>
      <w:r w:rsidR="00CB0933" w:rsidRPr="003F50AF">
        <w:rPr>
          <w:rFonts w:cs="Times New Roman"/>
          <w:bCs/>
          <w:i/>
          <w:sz w:val="22"/>
        </w:rPr>
        <w:t>L’Économie du XX</w:t>
      </w:r>
      <w:r w:rsidR="00CB0933" w:rsidRPr="003F50AF">
        <w:rPr>
          <w:rFonts w:cs="Times New Roman"/>
          <w:bCs/>
          <w:i/>
          <w:sz w:val="22"/>
          <w:vertAlign w:val="superscript"/>
        </w:rPr>
        <w:t>e</w:t>
      </w:r>
      <w:r w:rsidR="00CB0933" w:rsidRPr="003F50AF">
        <w:rPr>
          <w:rFonts w:cs="Times New Roman"/>
          <w:bCs/>
          <w:i/>
          <w:sz w:val="22"/>
        </w:rPr>
        <w:t xml:space="preserve"> siècle</w:t>
      </w:r>
      <w:r w:rsidR="00CB0933" w:rsidRPr="003F50AF">
        <w:rPr>
          <w:rFonts w:cs="Times New Roman"/>
          <w:bCs/>
          <w:sz w:val="22"/>
        </w:rPr>
        <w:t xml:space="preserve">, Presses universitaires de Grenoble, Grenoble. </w:t>
      </w:r>
    </w:p>
    <w:p w:rsidR="00893FC4" w:rsidRPr="0040004A" w:rsidRDefault="00893FC4" w:rsidP="002F5685">
      <w:pPr>
        <w:autoSpaceDE w:val="0"/>
        <w:autoSpaceDN w:val="0"/>
        <w:adjustRightInd w:val="0"/>
        <w:spacing w:line="240" w:lineRule="auto"/>
        <w:ind w:left="567" w:hanging="567"/>
        <w:jc w:val="both"/>
        <w:rPr>
          <w:rFonts w:cs="Times New Roman"/>
          <w:b/>
          <w:bCs/>
          <w:color w:val="000000"/>
          <w:sz w:val="22"/>
          <w:lang w:val="en-US"/>
        </w:rPr>
      </w:pPr>
      <w:r w:rsidRPr="003C0974">
        <w:rPr>
          <w:rFonts w:cs="Times New Roman"/>
          <w:bCs/>
          <w:color w:val="000000"/>
          <w:sz w:val="22"/>
          <w:lang w:val="en-US"/>
        </w:rPr>
        <w:t xml:space="preserve">Reill, X. et Forster, S. (2008), “Foreign Capital Investment in Microfinance. Balancing Social and Financial Returns”, </w:t>
      </w:r>
      <w:r w:rsidRPr="00DD7DA9">
        <w:rPr>
          <w:rFonts w:cs="Times New Roman"/>
          <w:bCs/>
          <w:i/>
          <w:color w:val="000000"/>
          <w:sz w:val="22"/>
          <w:lang w:val="en-US"/>
        </w:rPr>
        <w:t>Focus Note</w:t>
      </w:r>
      <w:r w:rsidRPr="003C0974">
        <w:rPr>
          <w:rFonts w:cs="Times New Roman"/>
          <w:bCs/>
          <w:color w:val="000000"/>
          <w:sz w:val="22"/>
          <w:lang w:val="en-US"/>
        </w:rPr>
        <w:t xml:space="preserve"> No. 44, Washington D.C., CGAP</w:t>
      </w:r>
      <w:r w:rsidRPr="003C0974">
        <w:rPr>
          <w:rFonts w:cs="Times New Roman"/>
          <w:b/>
          <w:bCs/>
          <w:color w:val="000000"/>
          <w:sz w:val="22"/>
          <w:lang w:val="en-US"/>
        </w:rPr>
        <w:t>.</w:t>
      </w:r>
    </w:p>
    <w:p w:rsidR="00C7129A" w:rsidRPr="0075191E" w:rsidRDefault="00643946" w:rsidP="002F5685">
      <w:pPr>
        <w:spacing w:line="240" w:lineRule="auto"/>
        <w:ind w:left="567" w:hanging="567"/>
        <w:jc w:val="both"/>
        <w:rPr>
          <w:rFonts w:eastAsia="Times New Roman" w:cs="Times New Roman"/>
          <w:sz w:val="22"/>
          <w:lang w:eastAsia="fr-FR"/>
        </w:rPr>
      </w:pPr>
      <w:r w:rsidRPr="0075191E">
        <w:rPr>
          <w:rFonts w:eastAsia="Times New Roman" w:cs="Times New Roman"/>
          <w:sz w:val="22"/>
          <w:lang w:eastAsia="fr-FR"/>
        </w:rPr>
        <w:t>Servet</w:t>
      </w:r>
      <w:r w:rsidR="003F50AF">
        <w:rPr>
          <w:rFonts w:eastAsia="Times New Roman" w:cs="Times New Roman"/>
          <w:sz w:val="22"/>
          <w:lang w:eastAsia="fr-FR"/>
        </w:rPr>
        <w:t>,</w:t>
      </w:r>
      <w:r w:rsidRPr="0075191E">
        <w:rPr>
          <w:rFonts w:eastAsia="Times New Roman" w:cs="Times New Roman"/>
          <w:sz w:val="22"/>
          <w:lang w:eastAsia="fr-FR"/>
        </w:rPr>
        <w:t xml:space="preserve"> J.-M. (2011), Activités et services – crise de la microfinance indienne, </w:t>
      </w:r>
      <w:r w:rsidRPr="0075191E">
        <w:rPr>
          <w:rFonts w:eastAsia="Times New Roman" w:cs="Times New Roman"/>
          <w:i/>
          <w:sz w:val="22"/>
          <w:lang w:eastAsia="fr-FR"/>
        </w:rPr>
        <w:t>Revue banque</w:t>
      </w:r>
      <w:r w:rsidRPr="0075191E">
        <w:rPr>
          <w:rFonts w:eastAsia="Times New Roman" w:cs="Times New Roman"/>
          <w:sz w:val="22"/>
          <w:lang w:eastAsia="fr-FR"/>
        </w:rPr>
        <w:t>, n°738.</w:t>
      </w:r>
    </w:p>
    <w:p w:rsidR="00CB0933" w:rsidRPr="0075191E" w:rsidRDefault="00CB0933" w:rsidP="002F5685">
      <w:pPr>
        <w:spacing w:line="240" w:lineRule="auto"/>
        <w:ind w:left="567" w:hanging="567"/>
        <w:jc w:val="both"/>
        <w:rPr>
          <w:rFonts w:eastAsia="Times New Roman" w:cs="Times New Roman"/>
          <w:sz w:val="22"/>
          <w:lang w:eastAsia="fr-FR"/>
        </w:rPr>
      </w:pPr>
      <w:r w:rsidRPr="0075191E">
        <w:rPr>
          <w:rFonts w:eastAsia="Times New Roman" w:cs="Times New Roman"/>
          <w:sz w:val="22"/>
          <w:lang w:eastAsia="fr-FR"/>
        </w:rPr>
        <w:t>Servet</w:t>
      </w:r>
      <w:r w:rsidR="003F50AF">
        <w:rPr>
          <w:rFonts w:eastAsia="Times New Roman" w:cs="Times New Roman"/>
          <w:sz w:val="22"/>
          <w:lang w:eastAsia="fr-FR"/>
        </w:rPr>
        <w:t>,</w:t>
      </w:r>
      <w:r w:rsidRPr="0075191E">
        <w:rPr>
          <w:rFonts w:eastAsia="Times New Roman" w:cs="Times New Roman"/>
          <w:sz w:val="22"/>
          <w:lang w:eastAsia="fr-FR"/>
        </w:rPr>
        <w:t xml:space="preserve"> J.-M. (2010</w:t>
      </w:r>
      <w:r w:rsidR="0075191E" w:rsidRPr="0075191E">
        <w:rPr>
          <w:rFonts w:eastAsia="Times New Roman" w:cs="Times New Roman"/>
          <w:sz w:val="22"/>
          <w:lang w:eastAsia="fr-FR"/>
        </w:rPr>
        <w:t>), Faut-</w:t>
      </w:r>
      <w:r w:rsidRPr="0075191E">
        <w:rPr>
          <w:rFonts w:eastAsia="Times New Roman" w:cs="Times New Roman"/>
          <w:sz w:val="22"/>
          <w:lang w:eastAsia="fr-FR"/>
        </w:rPr>
        <w:t xml:space="preserve">il aider une microfinance lucrative ou une microfinance </w:t>
      </w:r>
      <w:r w:rsidR="0075191E" w:rsidRPr="0075191E">
        <w:rPr>
          <w:rFonts w:eastAsia="Times New Roman" w:cs="Times New Roman"/>
          <w:sz w:val="22"/>
          <w:lang w:eastAsia="fr-FR"/>
        </w:rPr>
        <w:t xml:space="preserve">éducative ?, </w:t>
      </w:r>
      <w:r w:rsidRPr="0075191E">
        <w:rPr>
          <w:rFonts w:eastAsia="Times New Roman" w:cs="Times New Roman"/>
          <w:i/>
          <w:sz w:val="22"/>
          <w:lang w:eastAsia="fr-FR"/>
        </w:rPr>
        <w:t>Le Monde</w:t>
      </w:r>
      <w:r w:rsidRPr="0075191E">
        <w:rPr>
          <w:rFonts w:eastAsia="Times New Roman" w:cs="Times New Roman"/>
          <w:sz w:val="22"/>
          <w:lang w:eastAsia="fr-FR"/>
        </w:rPr>
        <w:t>, 13 décembre.</w:t>
      </w:r>
    </w:p>
    <w:p w:rsidR="00CB0933" w:rsidRPr="0075191E" w:rsidRDefault="0075191E" w:rsidP="002F5685">
      <w:pPr>
        <w:spacing w:line="240" w:lineRule="auto"/>
        <w:ind w:left="567" w:hanging="567"/>
        <w:jc w:val="both"/>
        <w:rPr>
          <w:rFonts w:eastAsia="Times New Roman" w:cs="Times New Roman"/>
          <w:sz w:val="22"/>
          <w:lang w:eastAsia="fr-FR"/>
        </w:rPr>
      </w:pPr>
      <w:r w:rsidRPr="0075191E">
        <w:rPr>
          <w:rFonts w:eastAsia="Times New Roman" w:cs="Times New Roman"/>
          <w:sz w:val="22"/>
          <w:lang w:eastAsia="fr-FR"/>
        </w:rPr>
        <w:t>Servet</w:t>
      </w:r>
      <w:r w:rsidR="003F50AF">
        <w:rPr>
          <w:rFonts w:eastAsia="Times New Roman" w:cs="Times New Roman"/>
          <w:sz w:val="22"/>
          <w:lang w:eastAsia="fr-FR"/>
        </w:rPr>
        <w:t>,</w:t>
      </w:r>
      <w:r w:rsidRPr="0075191E">
        <w:rPr>
          <w:rFonts w:eastAsia="Times New Roman" w:cs="Times New Roman"/>
          <w:sz w:val="22"/>
          <w:lang w:eastAsia="fr-FR"/>
        </w:rPr>
        <w:t xml:space="preserve"> J.-M. et </w:t>
      </w:r>
      <w:r w:rsidRPr="0075191E">
        <w:rPr>
          <w:rFonts w:eastAsia="Times New Roman" w:cs="Times New Roman"/>
          <w:i/>
          <w:sz w:val="22"/>
          <w:lang w:eastAsia="fr-FR"/>
        </w:rPr>
        <w:t>al.</w:t>
      </w:r>
      <w:r w:rsidRPr="0075191E">
        <w:rPr>
          <w:rFonts w:eastAsia="Times New Roman" w:cs="Times New Roman"/>
          <w:sz w:val="22"/>
          <w:lang w:eastAsia="fr-FR"/>
        </w:rPr>
        <w:t xml:space="preserve"> (2010</w:t>
      </w:r>
      <w:r w:rsidR="00CB0933" w:rsidRPr="0075191E">
        <w:rPr>
          <w:rFonts w:eastAsia="Times New Roman" w:cs="Times New Roman"/>
          <w:sz w:val="22"/>
          <w:lang w:eastAsia="fr-FR"/>
        </w:rPr>
        <w:t xml:space="preserve">), Avis de tempête dans le monde de la microfinance indienne, </w:t>
      </w:r>
      <w:r w:rsidR="00CB0933" w:rsidRPr="0075191E">
        <w:rPr>
          <w:rFonts w:eastAsia="Times New Roman" w:cs="Times New Roman"/>
          <w:i/>
          <w:sz w:val="22"/>
          <w:lang w:eastAsia="fr-FR"/>
        </w:rPr>
        <w:t>Le Monde</w:t>
      </w:r>
      <w:r w:rsidR="00CB0933" w:rsidRPr="0075191E">
        <w:rPr>
          <w:rFonts w:eastAsia="Times New Roman" w:cs="Times New Roman"/>
          <w:sz w:val="22"/>
          <w:lang w:eastAsia="fr-FR"/>
        </w:rPr>
        <w:t>, 15 novembre</w:t>
      </w:r>
      <w:r w:rsidRPr="0075191E">
        <w:rPr>
          <w:rFonts w:eastAsia="Times New Roman" w:cs="Times New Roman"/>
          <w:sz w:val="22"/>
          <w:lang w:eastAsia="fr-FR"/>
        </w:rPr>
        <w:t>.</w:t>
      </w:r>
    </w:p>
    <w:p w:rsidR="005D6D1D" w:rsidRPr="005D6D1D" w:rsidRDefault="005D6D1D" w:rsidP="002F5685">
      <w:pPr>
        <w:autoSpaceDE w:val="0"/>
        <w:autoSpaceDN w:val="0"/>
        <w:adjustRightInd w:val="0"/>
        <w:spacing w:line="240" w:lineRule="auto"/>
        <w:ind w:left="567" w:hanging="567"/>
        <w:jc w:val="both"/>
        <w:rPr>
          <w:rFonts w:cs="Times New Roman"/>
          <w:bCs/>
          <w:color w:val="000000"/>
          <w:sz w:val="22"/>
          <w:highlight w:val="red"/>
        </w:rPr>
      </w:pPr>
      <w:r w:rsidRPr="003C0974">
        <w:rPr>
          <w:rFonts w:cs="Times New Roman"/>
          <w:bCs/>
          <w:color w:val="000000"/>
          <w:sz w:val="22"/>
        </w:rPr>
        <w:t xml:space="preserve">Sodokin, </w:t>
      </w:r>
      <w:r w:rsidR="003C0974" w:rsidRPr="003C0974">
        <w:rPr>
          <w:rFonts w:cs="Times New Roman"/>
          <w:bCs/>
          <w:color w:val="000000"/>
          <w:sz w:val="22"/>
        </w:rPr>
        <w:t>K. (</w:t>
      </w:r>
      <w:r w:rsidRPr="003C0974">
        <w:rPr>
          <w:rFonts w:cs="Times New Roman"/>
          <w:bCs/>
          <w:color w:val="000000"/>
          <w:sz w:val="22"/>
        </w:rPr>
        <w:t>2007</w:t>
      </w:r>
      <w:r w:rsidR="003C0974" w:rsidRPr="003C0974">
        <w:rPr>
          <w:rFonts w:cs="Times New Roman"/>
          <w:bCs/>
          <w:color w:val="000000"/>
          <w:sz w:val="22"/>
        </w:rPr>
        <w:t>),</w:t>
      </w:r>
      <w:r w:rsidR="003C0974" w:rsidRPr="003C0974">
        <w:t xml:space="preserve"> </w:t>
      </w:r>
      <w:r w:rsidR="003C0974" w:rsidRPr="003C0974">
        <w:rPr>
          <w:rFonts w:cs="Times New Roman"/>
          <w:bCs/>
          <w:color w:val="000000"/>
          <w:sz w:val="22"/>
        </w:rPr>
        <w:t>La complémentarité de la "poverty lending approach" et de la "financial system approach" et lutte contre la pauvreté dans les P.E.D, XXVIIe Journées de l’Association d’Économie Sociale « Approches institutionnalistes des inégalités en économie sociale» Université de Paris-X Nanterre</w:t>
      </w:r>
      <w:r w:rsidR="003C0974">
        <w:rPr>
          <w:rFonts w:cs="Times New Roman"/>
          <w:bCs/>
          <w:color w:val="000000"/>
          <w:sz w:val="22"/>
        </w:rPr>
        <w:t>.</w:t>
      </w:r>
    </w:p>
    <w:p w:rsidR="00C7129A" w:rsidRPr="0040004A" w:rsidRDefault="0040004A" w:rsidP="002F5685">
      <w:pPr>
        <w:autoSpaceDE w:val="0"/>
        <w:autoSpaceDN w:val="0"/>
        <w:adjustRightInd w:val="0"/>
        <w:spacing w:line="240" w:lineRule="auto"/>
        <w:ind w:left="567" w:hanging="567"/>
        <w:jc w:val="both"/>
        <w:rPr>
          <w:rFonts w:cs="Times New Roman"/>
          <w:bCs/>
          <w:color w:val="000000"/>
          <w:sz w:val="22"/>
        </w:rPr>
      </w:pPr>
      <w:r w:rsidRPr="003C0974">
        <w:rPr>
          <w:rFonts w:cs="Times New Roman"/>
          <w:bCs/>
          <w:color w:val="000000"/>
          <w:sz w:val="22"/>
        </w:rPr>
        <w:t>Urgeghe</w:t>
      </w:r>
      <w:r w:rsidR="005D6D1D" w:rsidRPr="003C0974">
        <w:rPr>
          <w:rFonts w:cs="Times New Roman"/>
          <w:bCs/>
          <w:color w:val="000000"/>
          <w:sz w:val="22"/>
        </w:rPr>
        <w:t>,</w:t>
      </w:r>
      <w:r w:rsidRPr="003C0974">
        <w:rPr>
          <w:rFonts w:cs="Times New Roman"/>
          <w:bCs/>
          <w:color w:val="000000"/>
          <w:sz w:val="22"/>
        </w:rPr>
        <w:t xml:space="preserve"> L. (2009)</w:t>
      </w:r>
      <w:r w:rsidR="00C7129A" w:rsidRPr="003C0974">
        <w:rPr>
          <w:rFonts w:cs="Times New Roman"/>
          <w:bCs/>
          <w:color w:val="000000"/>
          <w:sz w:val="22"/>
        </w:rPr>
        <w:t xml:space="preserve">, « Commercialisation et financement de la microfinance : quels enjeux de gouvernance ? », </w:t>
      </w:r>
      <w:r w:rsidR="00C7129A" w:rsidRPr="003C0974">
        <w:rPr>
          <w:rFonts w:cs="Times New Roman"/>
          <w:bCs/>
          <w:i/>
          <w:color w:val="000000"/>
          <w:sz w:val="22"/>
        </w:rPr>
        <w:t>Reflets et perspectives de la vie économique</w:t>
      </w:r>
      <w:r w:rsidR="00C7129A" w:rsidRPr="003C0974">
        <w:rPr>
          <w:rFonts w:cs="Times New Roman"/>
          <w:bCs/>
          <w:color w:val="000000"/>
          <w:sz w:val="22"/>
        </w:rPr>
        <w:t>, 3 Tome XLVIII, p. 39-50.</w:t>
      </w:r>
    </w:p>
    <w:p w:rsidR="00C7129A" w:rsidRPr="00643946" w:rsidRDefault="00C7129A" w:rsidP="00643946">
      <w:pPr>
        <w:spacing w:after="0" w:line="240" w:lineRule="auto"/>
        <w:ind w:firstLine="0"/>
        <w:jc w:val="both"/>
        <w:rPr>
          <w:rFonts w:eastAsia="Calibri" w:cs="Times New Roman"/>
        </w:rPr>
      </w:pPr>
    </w:p>
    <w:p w:rsidR="001A07F2" w:rsidRDefault="001A07F2"/>
    <w:sectPr w:rsidR="001A07F2" w:rsidSect="000742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3C" w:rsidRDefault="004F763C" w:rsidP="00643946">
      <w:pPr>
        <w:spacing w:after="0" w:line="240" w:lineRule="auto"/>
      </w:pPr>
      <w:r>
        <w:separator/>
      </w:r>
    </w:p>
  </w:endnote>
  <w:endnote w:type="continuationSeparator" w:id="0">
    <w:p w:rsidR="004F763C" w:rsidRDefault="004F763C" w:rsidP="0064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774137"/>
      <w:docPartObj>
        <w:docPartGallery w:val="Page Numbers (Bottom of Page)"/>
        <w:docPartUnique/>
      </w:docPartObj>
    </w:sdtPr>
    <w:sdtEndPr/>
    <w:sdtContent>
      <w:p w:rsidR="00A22D95" w:rsidRDefault="00A22D95">
        <w:pPr>
          <w:pStyle w:val="Footer"/>
          <w:jc w:val="center"/>
        </w:pPr>
        <w:r>
          <w:fldChar w:fldCharType="begin"/>
        </w:r>
        <w:r>
          <w:instrText>PAGE   \* MERGEFORMAT</w:instrText>
        </w:r>
        <w:r>
          <w:fldChar w:fldCharType="separate"/>
        </w:r>
        <w:r w:rsidR="00560E1E">
          <w:rPr>
            <w:noProof/>
          </w:rPr>
          <w:t>2</w:t>
        </w:r>
        <w:r>
          <w:fldChar w:fldCharType="end"/>
        </w:r>
      </w:p>
    </w:sdtContent>
  </w:sdt>
  <w:p w:rsidR="00A22D95" w:rsidRDefault="00A2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3C" w:rsidRDefault="004F763C" w:rsidP="00643946">
      <w:pPr>
        <w:spacing w:after="0" w:line="240" w:lineRule="auto"/>
      </w:pPr>
      <w:r>
        <w:separator/>
      </w:r>
    </w:p>
  </w:footnote>
  <w:footnote w:type="continuationSeparator" w:id="0">
    <w:p w:rsidR="004F763C" w:rsidRDefault="004F763C" w:rsidP="00643946">
      <w:pPr>
        <w:spacing w:after="0" w:line="240" w:lineRule="auto"/>
      </w:pPr>
      <w:r>
        <w:continuationSeparator/>
      </w:r>
    </w:p>
  </w:footnote>
  <w:footnote w:id="1">
    <w:p w:rsidR="00CB0933" w:rsidRPr="0075191E" w:rsidRDefault="00CB0933" w:rsidP="00DD7DA9">
      <w:pPr>
        <w:pStyle w:val="FootnoteText"/>
        <w:ind w:firstLine="0"/>
        <w:jc w:val="both"/>
      </w:pPr>
      <w:r w:rsidRPr="0075191E">
        <w:rPr>
          <w:rStyle w:val="FootnoteReference"/>
        </w:rPr>
        <w:footnoteRef/>
      </w:r>
      <w:r w:rsidRPr="0075191E">
        <w:t xml:space="preserve"> Voir par exemple les tribunes dans </w:t>
      </w:r>
      <w:r w:rsidRPr="0075191E">
        <w:rPr>
          <w:i/>
        </w:rPr>
        <w:t>Le Monde</w:t>
      </w:r>
      <w:r w:rsidR="0075191E" w:rsidRPr="0075191E">
        <w:t xml:space="preserve"> de Servet (2010, 2011), Servet et</w:t>
      </w:r>
      <w:r w:rsidRPr="0075191E">
        <w:t xml:space="preserve"> </w:t>
      </w:r>
      <w:r w:rsidR="0075191E" w:rsidRPr="0075191E">
        <w:rPr>
          <w:i/>
        </w:rPr>
        <w:t>a</w:t>
      </w:r>
      <w:r w:rsidRPr="0075191E">
        <w:rPr>
          <w:i/>
        </w:rPr>
        <w:t>l.</w:t>
      </w:r>
      <w:r w:rsidRPr="0075191E">
        <w:t xml:space="preserve"> </w:t>
      </w:r>
      <w:r w:rsidR="0075191E" w:rsidRPr="0075191E">
        <w:t>(</w:t>
      </w:r>
      <w:r w:rsidRPr="0075191E">
        <w:t>20</w:t>
      </w:r>
      <w:r w:rsidR="0075191E" w:rsidRPr="0075191E">
        <w:t>10), et l’analyse qu’en fait Granger (2010)</w:t>
      </w:r>
      <w:r w:rsidRPr="0075191E">
        <w:t>.</w:t>
      </w:r>
    </w:p>
  </w:footnote>
  <w:footnote w:id="2">
    <w:p w:rsidR="00A22D95" w:rsidRPr="00726BE0" w:rsidRDefault="00A22D95" w:rsidP="00DD7DA9">
      <w:pPr>
        <w:pStyle w:val="FootnoteText"/>
        <w:spacing w:after="60"/>
        <w:ind w:firstLine="0"/>
        <w:jc w:val="both"/>
      </w:pPr>
      <w:r>
        <w:rPr>
          <w:rStyle w:val="FootnoteReference"/>
        </w:rPr>
        <w:footnoteRef/>
      </w:r>
      <w:r>
        <w:t xml:space="preserve"> </w:t>
      </w:r>
      <w:r w:rsidRPr="00B344E2">
        <w:t xml:space="preserve">Le secteur économique informel fournit emplois et moyens de subsistances à une frange de la population qui ne trouvent pas d’emplois (ou d’emplois à temps complet) dans le secteur formel. Le système financier informel </w:t>
      </w:r>
      <w:r w:rsidRPr="00726BE0">
        <w:t>fournit les services financiers aux individus qui ne peuvent accéder au système financier formel.</w:t>
      </w:r>
    </w:p>
  </w:footnote>
  <w:footnote w:id="3">
    <w:p w:rsidR="00A22D95" w:rsidRPr="00726BE0" w:rsidRDefault="00A22D95" w:rsidP="00DD7DA9">
      <w:pPr>
        <w:pStyle w:val="FootnoteText"/>
        <w:spacing w:after="60"/>
        <w:ind w:firstLine="0"/>
        <w:jc w:val="both"/>
      </w:pPr>
      <w:r w:rsidRPr="00726BE0">
        <w:rPr>
          <w:rStyle w:val="FootnoteReference"/>
        </w:rPr>
        <w:footnoteRef/>
      </w:r>
      <w:r w:rsidRPr="00726BE0">
        <w:t xml:space="preserve"> On revient alors sur une terminologie utilisée pour les banques coopératives qui ne sont pas éloignées des principes et fonctionnements des IMF.</w:t>
      </w:r>
    </w:p>
  </w:footnote>
  <w:footnote w:id="4">
    <w:p w:rsidR="00A22D95" w:rsidRDefault="00A22D95" w:rsidP="00DD7DA9">
      <w:pPr>
        <w:pStyle w:val="FootnoteText"/>
        <w:spacing w:after="60"/>
        <w:ind w:firstLine="0"/>
        <w:jc w:val="both"/>
      </w:pPr>
    </w:p>
  </w:footnote>
  <w:footnote w:id="5">
    <w:p w:rsidR="00A22D95" w:rsidRPr="0060761E" w:rsidRDefault="00A22D95" w:rsidP="00DD7DA9">
      <w:pPr>
        <w:pStyle w:val="FootnoteText"/>
        <w:spacing w:after="60"/>
        <w:ind w:firstLine="0"/>
        <w:jc w:val="both"/>
        <w:rPr>
          <w:rFonts w:cs="Times New Roman"/>
        </w:rPr>
      </w:pPr>
      <w:r w:rsidRPr="0060761E">
        <w:rPr>
          <w:rStyle w:val="FootnoteReference"/>
          <w:rFonts w:cs="Times New Roman"/>
        </w:rPr>
        <w:footnoteRef/>
      </w:r>
      <w:r w:rsidRPr="0060761E">
        <w:rPr>
          <w:rFonts w:cs="Times New Roman"/>
        </w:rPr>
        <w:t xml:space="preserve"> </w:t>
      </w:r>
      <w:r w:rsidRPr="00C7129A">
        <w:rPr>
          <w:rFonts w:cs="Times New Roman"/>
          <w:i/>
        </w:rPr>
        <w:t>Cf</w:t>
      </w:r>
      <w:r>
        <w:rPr>
          <w:rFonts w:cs="Times New Roman"/>
        </w:rPr>
        <w:t>.</w:t>
      </w:r>
      <w:r w:rsidRPr="0060761E">
        <w:rPr>
          <w:rFonts w:cs="Times New Roman"/>
        </w:rPr>
        <w:t xml:space="preserve"> le cas de la Bolivie ou de certains pays asiatiques.</w:t>
      </w:r>
    </w:p>
  </w:footnote>
  <w:footnote w:id="6">
    <w:p w:rsidR="00A22D95" w:rsidRDefault="00A22D95" w:rsidP="00DD7DA9">
      <w:pPr>
        <w:pStyle w:val="FootnoteText"/>
        <w:spacing w:after="60"/>
        <w:ind w:firstLine="0"/>
        <w:jc w:val="both"/>
      </w:pPr>
      <w:r>
        <w:rPr>
          <w:rStyle w:val="FootnoteReference"/>
        </w:rPr>
        <w:footnoteRef/>
      </w:r>
      <w:r>
        <w:t xml:space="preserve"> </w:t>
      </w:r>
      <w:r w:rsidRPr="00E27081">
        <w:t>Il s’agit de pratiques ancestrales de groupe où l’objet est de constituer un fond que chacun pourra utiliser à tour de rôle. Depuis Bouman (1977), on s’y réfère en parlant des ROCSA ou des AREC en français acronyme d’Associations Rotatives d’Épargne ou de Crédit. Elles présentent l’avantage -non négligeable et indispensable pour ce type de population- de permettre l’usage de petits montants que ce soit en termes d’épargne ou en termes de remboursement. Elles permettent également de passer outre les problématiques de garantie en asseyant souvent le mode de fonctionnement sur un système de garantie liée à la communauté et non individuel. Ce qui là encore est indispensable pour cette catégorie de population pour la plupart sans droits de propriété et sans situation stable. Ces deux premières caractéristiques justifient que ces populations n’entrent pas dans les critères et de fait formalités exigés par le secteur formel. Un autre système financier est donc nécessaire pour elles.</w:t>
      </w:r>
    </w:p>
  </w:footnote>
  <w:footnote w:id="7">
    <w:p w:rsidR="00D27B95" w:rsidRPr="00DD7DA9" w:rsidRDefault="00D27B95" w:rsidP="00DD7DA9">
      <w:pPr>
        <w:pStyle w:val="FootnoteText"/>
        <w:ind w:firstLine="0"/>
        <w:jc w:val="both"/>
      </w:pPr>
      <w:r w:rsidRPr="00DD7DA9">
        <w:rPr>
          <w:rStyle w:val="FootnoteReference"/>
        </w:rPr>
        <w:footnoteRef/>
      </w:r>
      <w:r w:rsidRPr="00DD7DA9">
        <w:t xml:space="preserve"> La caractérisation d’« indigène » pour ces finances atypiques a été proposée initialement par Bouman (1977).</w:t>
      </w:r>
    </w:p>
  </w:footnote>
  <w:footnote w:id="8">
    <w:p w:rsidR="00A22D95" w:rsidRDefault="00A22D95" w:rsidP="00DD7DA9">
      <w:pPr>
        <w:pStyle w:val="FootnoteText"/>
        <w:spacing w:after="60"/>
        <w:ind w:firstLine="0"/>
        <w:jc w:val="both"/>
      </w:pPr>
      <w:r>
        <w:rPr>
          <w:rStyle w:val="FootnoteReference"/>
        </w:rPr>
        <w:footnoteRef/>
      </w:r>
      <w:r>
        <w:t xml:space="preserve"> « [Le] savant ne dialogue jamais avec la nature pure, mais avec un certain état du rapport entre la nature et la culture, définissable par la période de l'histoire dans laquelle il vit, la civilisation qui est la sienne, les moyens matériels dont il dispose. Pas plus que le bricoleur, mis en présence d'une tâche donnée il ne peut faire n'importe quoi ; lui aussi devra commencer par inventorier un ensemble prédéterminé de connaissances théoriques et pratiques, de moyens techniques, qui restreignent les solutions possibles</w:t>
      </w:r>
      <w:r w:rsidRPr="00631C95">
        <w:t> » (Lévi-Strauss, 1962, p. 29)</w:t>
      </w:r>
      <w:r>
        <w:t>.</w:t>
      </w:r>
    </w:p>
  </w:footnote>
  <w:footnote w:id="9">
    <w:p w:rsidR="00A22D95" w:rsidRDefault="00A22D95" w:rsidP="00DD7DA9">
      <w:pPr>
        <w:pStyle w:val="FootnoteText"/>
        <w:spacing w:after="60"/>
        <w:ind w:firstLine="0"/>
        <w:jc w:val="both"/>
      </w:pPr>
      <w:r>
        <w:rPr>
          <w:rStyle w:val="FootnoteReference"/>
        </w:rPr>
        <w:footnoteRef/>
      </w:r>
      <w:r>
        <w:t xml:space="preserve"> La notion de « signe » issue de la linguistique se rapporte au « mot » qui désigne un objet. Le signe n’a donc pas la portée abstraite du concept et représente l’objet qu’il désigne (comme l’image) et sert de référence pour cet objet (comme le concept).</w:t>
      </w:r>
    </w:p>
  </w:footnote>
  <w:footnote w:id="10">
    <w:p w:rsidR="00A22D95" w:rsidRDefault="00A22D95" w:rsidP="00DD7DA9">
      <w:pPr>
        <w:pStyle w:val="FootnoteText"/>
        <w:spacing w:after="60"/>
        <w:ind w:firstLine="0"/>
        <w:jc w:val="both"/>
      </w:pPr>
      <w:r>
        <w:rPr>
          <w:rStyle w:val="FootnoteReference"/>
        </w:rPr>
        <w:footnoteRef/>
      </w:r>
      <w:r>
        <w:t xml:space="preserve"> Bien entendu, les néoclassiques plus que tout autre école de pensée se sont dotés d’une figure abstraite et idéalisée à travers la construction de l’homo-economicus. Leur raisonnement purement inductiviste explique grandement cette abstraction.</w:t>
      </w:r>
    </w:p>
  </w:footnote>
  <w:footnote w:id="11">
    <w:p w:rsidR="00A22D95" w:rsidRDefault="00A22D95" w:rsidP="00DD7DA9">
      <w:pPr>
        <w:pStyle w:val="FootnoteText"/>
        <w:spacing w:after="60"/>
        <w:ind w:firstLine="0"/>
        <w:jc w:val="both"/>
      </w:pPr>
      <w:r>
        <w:rPr>
          <w:rStyle w:val="FootnoteReference"/>
        </w:rPr>
        <w:footnoteRef/>
      </w:r>
      <w:r>
        <w:t xml:space="preserve"> Nous préciserons plus loin l’importance de cette notion de proximité.</w:t>
      </w:r>
    </w:p>
  </w:footnote>
  <w:footnote w:id="12">
    <w:p w:rsidR="0045420A" w:rsidRPr="00DD7DA9" w:rsidRDefault="0045420A" w:rsidP="00DD7DA9">
      <w:pPr>
        <w:pStyle w:val="FootnoteText"/>
        <w:ind w:firstLine="0"/>
        <w:jc w:val="both"/>
      </w:pPr>
      <w:r w:rsidRPr="00DD7DA9">
        <w:rPr>
          <w:rStyle w:val="FootnoteReference"/>
        </w:rPr>
        <w:footnoteRef/>
      </w:r>
      <w:r w:rsidRPr="00DD7DA9">
        <w:t xml:space="preserve"> </w:t>
      </w:r>
      <w:r w:rsidR="0085779C" w:rsidRPr="00DD7DA9">
        <w:t>Revient ici de fait l’enjeu de l’encastrement de l’économique dans le social (Voir notamment Granovetter, 1984).</w:t>
      </w:r>
    </w:p>
  </w:footnote>
  <w:footnote w:id="13">
    <w:p w:rsidR="003C0974" w:rsidRPr="00DD7DA9" w:rsidRDefault="003C0974" w:rsidP="00DD7DA9">
      <w:pPr>
        <w:pStyle w:val="FootnoteText"/>
        <w:ind w:firstLine="0"/>
        <w:jc w:val="both"/>
      </w:pPr>
      <w:r w:rsidRPr="00DD7DA9">
        <w:rPr>
          <w:rStyle w:val="FootnoteReference"/>
        </w:rPr>
        <w:footnoteRef/>
      </w:r>
      <w:r w:rsidRPr="00DD7DA9">
        <w:t xml:space="preserve"> Pour un état des lieux des critiques, voir Bateman et Chang.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3FE"/>
    <w:multiLevelType w:val="multilevel"/>
    <w:tmpl w:val="EDC8B6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B4036ED"/>
    <w:multiLevelType w:val="multilevel"/>
    <w:tmpl w:val="0A74886C"/>
    <w:lvl w:ilvl="0">
      <w:start w:val="3"/>
      <w:numFmt w:val="decimal"/>
      <w:lvlText w:val="%1."/>
      <w:lvlJc w:val="left"/>
      <w:pPr>
        <w:ind w:left="720" w:hanging="360"/>
      </w:pPr>
      <w:rPr>
        <w:rFonts w:hint="default"/>
      </w:rPr>
    </w:lvl>
    <w:lvl w:ilv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64E68D2"/>
    <w:multiLevelType w:val="hybridMultilevel"/>
    <w:tmpl w:val="52E228D0"/>
    <w:lvl w:ilvl="0" w:tplc="CB88C208">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76C483E"/>
    <w:multiLevelType w:val="multilevel"/>
    <w:tmpl w:val="EDC8B6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3DD6173"/>
    <w:multiLevelType w:val="hybridMultilevel"/>
    <w:tmpl w:val="068C9D84"/>
    <w:lvl w:ilvl="0" w:tplc="1F1CEDB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0550B1"/>
    <w:multiLevelType w:val="hybridMultilevel"/>
    <w:tmpl w:val="ADC84560"/>
    <w:lvl w:ilvl="0" w:tplc="077802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722BC9"/>
    <w:multiLevelType w:val="hybridMultilevel"/>
    <w:tmpl w:val="C4A44FB6"/>
    <w:lvl w:ilvl="0" w:tplc="59A4599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465C0"/>
    <w:multiLevelType w:val="multilevel"/>
    <w:tmpl w:val="9A902D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72521F8"/>
    <w:multiLevelType w:val="multilevel"/>
    <w:tmpl w:val="DB9A29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7C17E5F"/>
    <w:multiLevelType w:val="hybridMultilevel"/>
    <w:tmpl w:val="8528B5B2"/>
    <w:lvl w:ilvl="0" w:tplc="6B90D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5B67A7"/>
    <w:multiLevelType w:val="multilevel"/>
    <w:tmpl w:val="741E094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61DC063F"/>
    <w:multiLevelType w:val="hybridMultilevel"/>
    <w:tmpl w:val="CC84655A"/>
    <w:lvl w:ilvl="0" w:tplc="80363C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E76B10"/>
    <w:multiLevelType w:val="hybridMultilevel"/>
    <w:tmpl w:val="AAD0629C"/>
    <w:lvl w:ilvl="0" w:tplc="7BFE56F6">
      <w:start w:val="1"/>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2"/>
  </w:num>
  <w:num w:numId="8">
    <w:abstractNumId w:val="8"/>
  </w:num>
  <w:num w:numId="9">
    <w:abstractNumId w:val="10"/>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46"/>
    <w:rsid w:val="000161D1"/>
    <w:rsid w:val="00025C3B"/>
    <w:rsid w:val="00047C85"/>
    <w:rsid w:val="00066D81"/>
    <w:rsid w:val="0007429E"/>
    <w:rsid w:val="000B3EE2"/>
    <w:rsid w:val="000C18F3"/>
    <w:rsid w:val="000F504B"/>
    <w:rsid w:val="00102E57"/>
    <w:rsid w:val="00123055"/>
    <w:rsid w:val="001364C4"/>
    <w:rsid w:val="00180F26"/>
    <w:rsid w:val="00191033"/>
    <w:rsid w:val="00192D8B"/>
    <w:rsid w:val="001A07F2"/>
    <w:rsid w:val="001D2AD6"/>
    <w:rsid w:val="001E2BD8"/>
    <w:rsid w:val="001F017D"/>
    <w:rsid w:val="001F6A91"/>
    <w:rsid w:val="00217E5F"/>
    <w:rsid w:val="002327D0"/>
    <w:rsid w:val="00286978"/>
    <w:rsid w:val="002F5685"/>
    <w:rsid w:val="00306CBB"/>
    <w:rsid w:val="003110A1"/>
    <w:rsid w:val="00343C71"/>
    <w:rsid w:val="003561A5"/>
    <w:rsid w:val="003602B6"/>
    <w:rsid w:val="003636C1"/>
    <w:rsid w:val="003709F4"/>
    <w:rsid w:val="003A27E7"/>
    <w:rsid w:val="003A4EB2"/>
    <w:rsid w:val="003A669F"/>
    <w:rsid w:val="003C0974"/>
    <w:rsid w:val="003D4E64"/>
    <w:rsid w:val="003F50AF"/>
    <w:rsid w:val="0040004A"/>
    <w:rsid w:val="00403EE3"/>
    <w:rsid w:val="00404E0B"/>
    <w:rsid w:val="004345C6"/>
    <w:rsid w:val="0045420A"/>
    <w:rsid w:val="00454AB8"/>
    <w:rsid w:val="00484C37"/>
    <w:rsid w:val="00487D79"/>
    <w:rsid w:val="004C000E"/>
    <w:rsid w:val="004D3521"/>
    <w:rsid w:val="004E3664"/>
    <w:rsid w:val="004F3B9C"/>
    <w:rsid w:val="004F763C"/>
    <w:rsid w:val="00503131"/>
    <w:rsid w:val="00541962"/>
    <w:rsid w:val="00543470"/>
    <w:rsid w:val="00550B90"/>
    <w:rsid w:val="00560E1E"/>
    <w:rsid w:val="00577708"/>
    <w:rsid w:val="005A3E84"/>
    <w:rsid w:val="005D6D1D"/>
    <w:rsid w:val="005E2DF1"/>
    <w:rsid w:val="00610BCD"/>
    <w:rsid w:val="00622BE1"/>
    <w:rsid w:val="0062403F"/>
    <w:rsid w:val="00643946"/>
    <w:rsid w:val="0065579C"/>
    <w:rsid w:val="006652AA"/>
    <w:rsid w:val="0067375C"/>
    <w:rsid w:val="00681711"/>
    <w:rsid w:val="0068356A"/>
    <w:rsid w:val="006C70C9"/>
    <w:rsid w:val="006E046F"/>
    <w:rsid w:val="007104F5"/>
    <w:rsid w:val="00726BE0"/>
    <w:rsid w:val="00740B59"/>
    <w:rsid w:val="00742879"/>
    <w:rsid w:val="00744F93"/>
    <w:rsid w:val="00746445"/>
    <w:rsid w:val="0075191E"/>
    <w:rsid w:val="00760823"/>
    <w:rsid w:val="00776CF5"/>
    <w:rsid w:val="007B2185"/>
    <w:rsid w:val="007C325D"/>
    <w:rsid w:val="007C3A26"/>
    <w:rsid w:val="007F3C77"/>
    <w:rsid w:val="007F4036"/>
    <w:rsid w:val="00802DFA"/>
    <w:rsid w:val="00805286"/>
    <w:rsid w:val="008138CB"/>
    <w:rsid w:val="0081713E"/>
    <w:rsid w:val="00822D7E"/>
    <w:rsid w:val="008334AE"/>
    <w:rsid w:val="0083392E"/>
    <w:rsid w:val="0085030C"/>
    <w:rsid w:val="0085779C"/>
    <w:rsid w:val="008651DC"/>
    <w:rsid w:val="00865946"/>
    <w:rsid w:val="00867DF3"/>
    <w:rsid w:val="00870341"/>
    <w:rsid w:val="00890F58"/>
    <w:rsid w:val="00893FC4"/>
    <w:rsid w:val="0089691D"/>
    <w:rsid w:val="008D2444"/>
    <w:rsid w:val="008D6169"/>
    <w:rsid w:val="008D661E"/>
    <w:rsid w:val="008F067E"/>
    <w:rsid w:val="008F7807"/>
    <w:rsid w:val="00914DD6"/>
    <w:rsid w:val="00926D65"/>
    <w:rsid w:val="00936268"/>
    <w:rsid w:val="00976EFD"/>
    <w:rsid w:val="009C502D"/>
    <w:rsid w:val="009E2900"/>
    <w:rsid w:val="009F2BC5"/>
    <w:rsid w:val="00A102E2"/>
    <w:rsid w:val="00A15DA1"/>
    <w:rsid w:val="00A20D43"/>
    <w:rsid w:val="00A22D95"/>
    <w:rsid w:val="00A46009"/>
    <w:rsid w:val="00A6374F"/>
    <w:rsid w:val="00A73D9D"/>
    <w:rsid w:val="00A80D9F"/>
    <w:rsid w:val="00A97EC7"/>
    <w:rsid w:val="00AA054C"/>
    <w:rsid w:val="00AD7E45"/>
    <w:rsid w:val="00AE13C6"/>
    <w:rsid w:val="00AE36CC"/>
    <w:rsid w:val="00AE4BE7"/>
    <w:rsid w:val="00AF1F45"/>
    <w:rsid w:val="00AF4775"/>
    <w:rsid w:val="00B057E1"/>
    <w:rsid w:val="00B44EB6"/>
    <w:rsid w:val="00B46666"/>
    <w:rsid w:val="00B52177"/>
    <w:rsid w:val="00B6049D"/>
    <w:rsid w:val="00B938CC"/>
    <w:rsid w:val="00BC4921"/>
    <w:rsid w:val="00BC759B"/>
    <w:rsid w:val="00BD366D"/>
    <w:rsid w:val="00BF0706"/>
    <w:rsid w:val="00C060BD"/>
    <w:rsid w:val="00C12E5E"/>
    <w:rsid w:val="00C271C9"/>
    <w:rsid w:val="00C320EF"/>
    <w:rsid w:val="00C32396"/>
    <w:rsid w:val="00C47279"/>
    <w:rsid w:val="00C5589C"/>
    <w:rsid w:val="00C677C0"/>
    <w:rsid w:val="00C7129A"/>
    <w:rsid w:val="00C73DC2"/>
    <w:rsid w:val="00CB0933"/>
    <w:rsid w:val="00CC78B7"/>
    <w:rsid w:val="00CD5D69"/>
    <w:rsid w:val="00CF15A3"/>
    <w:rsid w:val="00CF5BE7"/>
    <w:rsid w:val="00D15DF6"/>
    <w:rsid w:val="00D27B95"/>
    <w:rsid w:val="00D301E3"/>
    <w:rsid w:val="00D36B8A"/>
    <w:rsid w:val="00D43043"/>
    <w:rsid w:val="00D6528D"/>
    <w:rsid w:val="00DB7B3D"/>
    <w:rsid w:val="00DC2A4A"/>
    <w:rsid w:val="00DD7DA9"/>
    <w:rsid w:val="00DF3507"/>
    <w:rsid w:val="00DF6A15"/>
    <w:rsid w:val="00E11676"/>
    <w:rsid w:val="00E15A67"/>
    <w:rsid w:val="00E22B93"/>
    <w:rsid w:val="00E27081"/>
    <w:rsid w:val="00E5269E"/>
    <w:rsid w:val="00E63B5E"/>
    <w:rsid w:val="00E662A1"/>
    <w:rsid w:val="00E80700"/>
    <w:rsid w:val="00E857D9"/>
    <w:rsid w:val="00E9204D"/>
    <w:rsid w:val="00E92ACD"/>
    <w:rsid w:val="00E92E7F"/>
    <w:rsid w:val="00E967DE"/>
    <w:rsid w:val="00EA75CC"/>
    <w:rsid w:val="00EB6759"/>
    <w:rsid w:val="00EC21B1"/>
    <w:rsid w:val="00ED0492"/>
    <w:rsid w:val="00ED0AFA"/>
    <w:rsid w:val="00EE005B"/>
    <w:rsid w:val="00EF48FD"/>
    <w:rsid w:val="00F239D8"/>
    <w:rsid w:val="00F27C44"/>
    <w:rsid w:val="00F761B6"/>
    <w:rsid w:val="00FB5A16"/>
    <w:rsid w:val="00FC4420"/>
    <w:rsid w:val="00FD0534"/>
    <w:rsid w:val="00FD24A4"/>
    <w:rsid w:val="00FD2EC7"/>
    <w:rsid w:val="00FE20DE"/>
    <w:rsid w:val="00FF5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CD"/>
    <w:pPr>
      <w:spacing w:after="120" w:line="360" w:lineRule="auto"/>
      <w:ind w:firstLine="567"/>
    </w:pPr>
    <w:rPr>
      <w:rFonts w:ascii="Times New Roman" w:hAnsi="Times New Roman"/>
      <w:sz w:val="24"/>
    </w:rPr>
  </w:style>
  <w:style w:type="paragraph" w:styleId="Heading2">
    <w:name w:val="heading 2"/>
    <w:aliases w:val="Note pédago"/>
    <w:basedOn w:val="NoSpacing"/>
    <w:next w:val="Normal"/>
    <w:link w:val="Heading2Char"/>
    <w:uiPriority w:val="9"/>
    <w:unhideWhenUsed/>
    <w:qFormat/>
    <w:rsid w:val="00D43043"/>
    <w:pPr>
      <w:keepNext/>
      <w:keepLines/>
      <w:spacing w:after="60"/>
      <w:ind w:firstLine="0"/>
      <w:jc w:val="both"/>
      <w:outlineLvl w:val="1"/>
    </w:pPr>
    <w:rPr>
      <w:rFonts w:ascii="Arial" w:eastAsiaTheme="majorEastAsia" w:hAnsi="Arial"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ote pédago Char"/>
    <w:basedOn w:val="DefaultParagraphFont"/>
    <w:link w:val="Heading2"/>
    <w:uiPriority w:val="9"/>
    <w:rsid w:val="00D43043"/>
    <w:rPr>
      <w:rFonts w:ascii="Arial" w:eastAsiaTheme="majorEastAsia" w:hAnsi="Arial" w:cstheme="majorBidi"/>
      <w:bCs/>
      <w:sz w:val="20"/>
      <w:szCs w:val="26"/>
    </w:rPr>
  </w:style>
  <w:style w:type="paragraph" w:styleId="NoSpacing">
    <w:name w:val="No Spacing"/>
    <w:uiPriority w:val="1"/>
    <w:qFormat/>
    <w:rsid w:val="00D43043"/>
    <w:pPr>
      <w:spacing w:after="0" w:line="240" w:lineRule="auto"/>
      <w:ind w:firstLine="567"/>
    </w:pPr>
    <w:rPr>
      <w:rFonts w:ascii="Times New Roman" w:hAnsi="Times New Roman"/>
      <w:sz w:val="24"/>
    </w:rPr>
  </w:style>
  <w:style w:type="paragraph" w:styleId="Footer">
    <w:name w:val="footer"/>
    <w:basedOn w:val="Normal"/>
    <w:link w:val="FooterChar"/>
    <w:uiPriority w:val="99"/>
    <w:semiHidden/>
    <w:unhideWhenUsed/>
    <w:rsid w:val="006439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3946"/>
    <w:rPr>
      <w:rFonts w:ascii="Times New Roman" w:hAnsi="Times New Roman"/>
      <w:sz w:val="24"/>
    </w:rPr>
  </w:style>
  <w:style w:type="paragraph" w:styleId="FootnoteText">
    <w:name w:val="footnote text"/>
    <w:basedOn w:val="Normal"/>
    <w:link w:val="FootnoteTextChar"/>
    <w:uiPriority w:val="99"/>
    <w:semiHidden/>
    <w:unhideWhenUsed/>
    <w:rsid w:val="0064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946"/>
    <w:rPr>
      <w:rFonts w:ascii="Times New Roman" w:hAnsi="Times New Roman"/>
      <w:sz w:val="20"/>
      <w:szCs w:val="20"/>
    </w:rPr>
  </w:style>
  <w:style w:type="character" w:styleId="FootnoteReference">
    <w:name w:val="footnote reference"/>
    <w:basedOn w:val="DefaultParagraphFont"/>
    <w:uiPriority w:val="99"/>
    <w:semiHidden/>
    <w:unhideWhenUsed/>
    <w:rsid w:val="00643946"/>
    <w:rPr>
      <w:vertAlign w:val="superscript"/>
    </w:rPr>
  </w:style>
  <w:style w:type="table" w:customStyle="1" w:styleId="Grilledutableau1">
    <w:name w:val="Grille du tableau1"/>
    <w:basedOn w:val="TableNormal"/>
    <w:next w:val="TableGrid"/>
    <w:rsid w:val="0064394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3946"/>
    <w:rPr>
      <w:sz w:val="16"/>
      <w:szCs w:val="16"/>
    </w:rPr>
  </w:style>
  <w:style w:type="paragraph" w:styleId="CommentText">
    <w:name w:val="annotation text"/>
    <w:basedOn w:val="Normal"/>
    <w:link w:val="CommentTextChar"/>
    <w:uiPriority w:val="99"/>
    <w:unhideWhenUsed/>
    <w:rsid w:val="00643946"/>
    <w:pPr>
      <w:spacing w:after="0" w:line="240" w:lineRule="auto"/>
      <w:ind w:firstLine="0"/>
      <w:jc w:val="both"/>
    </w:pPr>
    <w:rPr>
      <w:rFonts w:eastAsia="Calibri" w:cs="Times New Roman"/>
      <w:sz w:val="20"/>
      <w:szCs w:val="20"/>
    </w:rPr>
  </w:style>
  <w:style w:type="character" w:customStyle="1" w:styleId="CommentTextChar">
    <w:name w:val="Comment Text Char"/>
    <w:basedOn w:val="DefaultParagraphFont"/>
    <w:link w:val="CommentText"/>
    <w:uiPriority w:val="99"/>
    <w:rsid w:val="00643946"/>
    <w:rPr>
      <w:rFonts w:ascii="Times New Roman" w:eastAsia="Calibri" w:hAnsi="Times New Roman" w:cs="Times New Roman"/>
      <w:sz w:val="20"/>
      <w:szCs w:val="20"/>
    </w:rPr>
  </w:style>
  <w:style w:type="table" w:styleId="TableGrid">
    <w:name w:val="Table Grid"/>
    <w:basedOn w:val="TableNormal"/>
    <w:uiPriority w:val="59"/>
    <w:rsid w:val="00643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0823"/>
    <w:pPr>
      <w:spacing w:after="120"/>
      <w:ind w:firstLine="567"/>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760823"/>
    <w:rPr>
      <w:rFonts w:ascii="Times New Roman" w:eastAsia="Calibri" w:hAnsi="Times New Roman" w:cs="Times New Roman"/>
      <w:b/>
      <w:bCs/>
      <w:sz w:val="20"/>
      <w:szCs w:val="20"/>
    </w:rPr>
  </w:style>
  <w:style w:type="paragraph" w:styleId="ListParagraph">
    <w:name w:val="List Paragraph"/>
    <w:basedOn w:val="Normal"/>
    <w:uiPriority w:val="34"/>
    <w:qFormat/>
    <w:rsid w:val="00E9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CD"/>
    <w:pPr>
      <w:spacing w:after="120" w:line="360" w:lineRule="auto"/>
      <w:ind w:firstLine="567"/>
    </w:pPr>
    <w:rPr>
      <w:rFonts w:ascii="Times New Roman" w:hAnsi="Times New Roman"/>
      <w:sz w:val="24"/>
    </w:rPr>
  </w:style>
  <w:style w:type="paragraph" w:styleId="Heading2">
    <w:name w:val="heading 2"/>
    <w:aliases w:val="Note pédago"/>
    <w:basedOn w:val="NoSpacing"/>
    <w:next w:val="Normal"/>
    <w:link w:val="Heading2Char"/>
    <w:uiPriority w:val="9"/>
    <w:unhideWhenUsed/>
    <w:qFormat/>
    <w:rsid w:val="00D43043"/>
    <w:pPr>
      <w:keepNext/>
      <w:keepLines/>
      <w:spacing w:after="60"/>
      <w:ind w:firstLine="0"/>
      <w:jc w:val="both"/>
      <w:outlineLvl w:val="1"/>
    </w:pPr>
    <w:rPr>
      <w:rFonts w:ascii="Arial" w:eastAsiaTheme="majorEastAsia" w:hAnsi="Arial"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ote pédago Char"/>
    <w:basedOn w:val="DefaultParagraphFont"/>
    <w:link w:val="Heading2"/>
    <w:uiPriority w:val="9"/>
    <w:rsid w:val="00D43043"/>
    <w:rPr>
      <w:rFonts w:ascii="Arial" w:eastAsiaTheme="majorEastAsia" w:hAnsi="Arial" w:cstheme="majorBidi"/>
      <w:bCs/>
      <w:sz w:val="20"/>
      <w:szCs w:val="26"/>
    </w:rPr>
  </w:style>
  <w:style w:type="paragraph" w:styleId="NoSpacing">
    <w:name w:val="No Spacing"/>
    <w:uiPriority w:val="1"/>
    <w:qFormat/>
    <w:rsid w:val="00D43043"/>
    <w:pPr>
      <w:spacing w:after="0" w:line="240" w:lineRule="auto"/>
      <w:ind w:firstLine="567"/>
    </w:pPr>
    <w:rPr>
      <w:rFonts w:ascii="Times New Roman" w:hAnsi="Times New Roman"/>
      <w:sz w:val="24"/>
    </w:rPr>
  </w:style>
  <w:style w:type="paragraph" w:styleId="Footer">
    <w:name w:val="footer"/>
    <w:basedOn w:val="Normal"/>
    <w:link w:val="FooterChar"/>
    <w:uiPriority w:val="99"/>
    <w:semiHidden/>
    <w:unhideWhenUsed/>
    <w:rsid w:val="006439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3946"/>
    <w:rPr>
      <w:rFonts w:ascii="Times New Roman" w:hAnsi="Times New Roman"/>
      <w:sz w:val="24"/>
    </w:rPr>
  </w:style>
  <w:style w:type="paragraph" w:styleId="FootnoteText">
    <w:name w:val="footnote text"/>
    <w:basedOn w:val="Normal"/>
    <w:link w:val="FootnoteTextChar"/>
    <w:uiPriority w:val="99"/>
    <w:semiHidden/>
    <w:unhideWhenUsed/>
    <w:rsid w:val="0064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946"/>
    <w:rPr>
      <w:rFonts w:ascii="Times New Roman" w:hAnsi="Times New Roman"/>
      <w:sz w:val="20"/>
      <w:szCs w:val="20"/>
    </w:rPr>
  </w:style>
  <w:style w:type="character" w:styleId="FootnoteReference">
    <w:name w:val="footnote reference"/>
    <w:basedOn w:val="DefaultParagraphFont"/>
    <w:uiPriority w:val="99"/>
    <w:semiHidden/>
    <w:unhideWhenUsed/>
    <w:rsid w:val="00643946"/>
    <w:rPr>
      <w:vertAlign w:val="superscript"/>
    </w:rPr>
  </w:style>
  <w:style w:type="table" w:customStyle="1" w:styleId="Grilledutableau1">
    <w:name w:val="Grille du tableau1"/>
    <w:basedOn w:val="TableNormal"/>
    <w:next w:val="TableGrid"/>
    <w:rsid w:val="0064394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3946"/>
    <w:rPr>
      <w:sz w:val="16"/>
      <w:szCs w:val="16"/>
    </w:rPr>
  </w:style>
  <w:style w:type="paragraph" w:styleId="CommentText">
    <w:name w:val="annotation text"/>
    <w:basedOn w:val="Normal"/>
    <w:link w:val="CommentTextChar"/>
    <w:uiPriority w:val="99"/>
    <w:unhideWhenUsed/>
    <w:rsid w:val="00643946"/>
    <w:pPr>
      <w:spacing w:after="0" w:line="240" w:lineRule="auto"/>
      <w:ind w:firstLine="0"/>
      <w:jc w:val="both"/>
    </w:pPr>
    <w:rPr>
      <w:rFonts w:eastAsia="Calibri" w:cs="Times New Roman"/>
      <w:sz w:val="20"/>
      <w:szCs w:val="20"/>
    </w:rPr>
  </w:style>
  <w:style w:type="character" w:customStyle="1" w:styleId="CommentTextChar">
    <w:name w:val="Comment Text Char"/>
    <w:basedOn w:val="DefaultParagraphFont"/>
    <w:link w:val="CommentText"/>
    <w:uiPriority w:val="99"/>
    <w:rsid w:val="00643946"/>
    <w:rPr>
      <w:rFonts w:ascii="Times New Roman" w:eastAsia="Calibri" w:hAnsi="Times New Roman" w:cs="Times New Roman"/>
      <w:sz w:val="20"/>
      <w:szCs w:val="20"/>
    </w:rPr>
  </w:style>
  <w:style w:type="table" w:styleId="TableGrid">
    <w:name w:val="Table Grid"/>
    <w:basedOn w:val="TableNormal"/>
    <w:uiPriority w:val="59"/>
    <w:rsid w:val="00643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0823"/>
    <w:pPr>
      <w:spacing w:after="120"/>
      <w:ind w:firstLine="567"/>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760823"/>
    <w:rPr>
      <w:rFonts w:ascii="Times New Roman" w:eastAsia="Calibri" w:hAnsi="Times New Roman" w:cs="Times New Roman"/>
      <w:b/>
      <w:bCs/>
      <w:sz w:val="20"/>
      <w:szCs w:val="20"/>
    </w:rPr>
  </w:style>
  <w:style w:type="paragraph" w:styleId="ListParagraph">
    <w:name w:val="List Paragraph"/>
    <w:basedOn w:val="Normal"/>
    <w:uiPriority w:val="34"/>
    <w:qFormat/>
    <w:rsid w:val="00E9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ilo5.com/Les%20vrais%20penseurs/08%20-%20Claude%20Levi-Straus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microfinance.org/content/article/detail/18182" TargetMode="External"/><Relationship Id="rId5" Type="http://schemas.openxmlformats.org/officeDocument/2006/relationships/settings" Target="settings.xml"/><Relationship Id="rId10" Type="http://schemas.openxmlformats.org/officeDocument/2006/relationships/hyperlink" Target="mailto:vmonvoisin@grenoble-e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6631-3C27-46E2-B9CB-33809F4E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9657</Words>
  <Characters>55045</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Grenoble Ecole de Management</Company>
  <LinksUpToDate>false</LinksUpToDate>
  <CharactersWithSpaces>64573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vinie microsoft</dc:creator>
  <cp:lastModifiedBy>VET</cp:lastModifiedBy>
  <cp:revision>2</cp:revision>
  <dcterms:created xsi:type="dcterms:W3CDTF">2013-03-26T14:05:00Z</dcterms:created>
  <dcterms:modified xsi:type="dcterms:W3CDTF">2013-03-26T14:05:00Z</dcterms:modified>
</cp:coreProperties>
</file>